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before="0" w:after="0" w:line="560" w:lineRule="exact"/>
        <w:ind w:firstLine="0" w:firstLineChars="0"/>
        <w:rPr>
          <w:rFonts w:cs="华文宋体" w:asciiTheme="minorEastAsia" w:hAnsiTheme="minorEastAsia" w:eastAsiaTheme="minorEastAsia"/>
          <w:sz w:val="44"/>
          <w:szCs w:val="44"/>
        </w:rPr>
      </w:pPr>
    </w:p>
    <w:p>
      <w:pPr>
        <w:pStyle w:val="9"/>
        <w:spacing w:before="0" w:after="0" w:line="560" w:lineRule="exact"/>
        <w:ind w:firstLine="0" w:firstLineChars="0"/>
        <w:rPr>
          <w:rFonts w:cs="华文宋体" w:asciiTheme="minorEastAsia" w:hAnsiTheme="minorEastAsia" w:eastAsiaTheme="minorEastAsia"/>
          <w:sz w:val="44"/>
          <w:szCs w:val="44"/>
          <w:lang w:bidi="ar"/>
        </w:rPr>
      </w:pPr>
      <w:r>
        <w:rPr>
          <w:rFonts w:hint="eastAsia" w:cs="华文宋体" w:asciiTheme="minorEastAsia" w:hAnsiTheme="minorEastAsia" w:eastAsiaTheme="minorEastAsia"/>
          <w:sz w:val="44"/>
          <w:szCs w:val="44"/>
        </w:rPr>
        <w:t>2021年宝安区</w:t>
      </w:r>
      <w:r>
        <w:rPr>
          <w:rFonts w:hint="eastAsia" w:cs="华文宋体" w:asciiTheme="minorEastAsia" w:hAnsiTheme="minorEastAsia" w:eastAsiaTheme="minorEastAsia"/>
          <w:sz w:val="44"/>
          <w:szCs w:val="44"/>
          <w:lang w:bidi="ar"/>
        </w:rPr>
        <w:t>工业互联网标识解析二级节点</w:t>
      </w:r>
    </w:p>
    <w:p>
      <w:pPr>
        <w:pStyle w:val="9"/>
        <w:spacing w:before="0" w:after="0" w:line="560" w:lineRule="exact"/>
        <w:ind w:firstLine="0" w:firstLineChars="0"/>
        <w:rPr>
          <w:rFonts w:asciiTheme="minorEastAsia" w:hAnsiTheme="minorEastAsia" w:eastAsiaTheme="minorEastAsia"/>
        </w:rPr>
      </w:pPr>
      <w:r>
        <w:rPr>
          <w:rFonts w:hint="eastAsia" w:cs="华文宋体" w:asciiTheme="minorEastAsia" w:hAnsiTheme="minorEastAsia" w:eastAsiaTheme="minorEastAsia"/>
          <w:sz w:val="44"/>
          <w:szCs w:val="44"/>
          <w:lang w:bidi="ar"/>
        </w:rPr>
        <w:t>应用奖励项目申报指南</w:t>
      </w:r>
    </w:p>
    <w:p>
      <w:pPr>
        <w:pStyle w:val="2"/>
        <w:ind w:firstLine="0" w:firstLineChars="0"/>
      </w:pPr>
    </w:p>
    <w:p>
      <w:pPr>
        <w:pStyle w:val="5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/>
        <w:jc w:val="both"/>
        <w:textAlignment w:val="auto"/>
        <w:rPr>
          <w:lang w:val="en"/>
        </w:rPr>
      </w:pPr>
      <w:r>
        <w:rPr>
          <w:rFonts w:hint="eastAsia"/>
        </w:rPr>
        <w:t> 一、申报主体</w:t>
      </w:r>
    </w:p>
    <w:p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/>
        <w:textAlignment w:val="auto"/>
        <w:rPr>
          <w:rFonts w:hint="eastAsia" w:cs="仿宋_GB2312"/>
          <w:kern w:val="0"/>
          <w:szCs w:val="32"/>
        </w:rPr>
      </w:pPr>
      <w:r>
        <w:rPr>
          <w:rFonts w:hint="eastAsia" w:cs="仿宋_GB2312"/>
          <w:kern w:val="0"/>
          <w:szCs w:val="32"/>
        </w:rPr>
        <w:t>（一）申报主体应为在宝安区注册，且具备独立法人资格的企业、事业</w:t>
      </w:r>
      <w:r>
        <w:rPr>
          <w:rFonts w:hint="eastAsia" w:cs="仿宋_GB2312"/>
          <w:kern w:val="0"/>
          <w:szCs w:val="32"/>
          <w:lang w:val="en"/>
        </w:rPr>
        <w:t>单位</w:t>
      </w:r>
      <w:r>
        <w:rPr>
          <w:rFonts w:hint="eastAsia" w:cs="仿宋_GB2312"/>
          <w:kern w:val="0"/>
          <w:szCs w:val="32"/>
        </w:rPr>
        <w:t xml:space="preserve">或社会组织； </w:t>
      </w:r>
    </w:p>
    <w:p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/>
        <w:textAlignment w:val="auto"/>
        <w:rPr>
          <w:rFonts w:hint="eastAsia" w:cs="仿宋_GB2312"/>
          <w:kern w:val="0"/>
          <w:szCs w:val="32"/>
        </w:rPr>
      </w:pPr>
      <w:r>
        <w:rPr>
          <w:rFonts w:hint="eastAsia" w:cs="仿宋_GB2312"/>
          <w:kern w:val="0"/>
          <w:szCs w:val="32"/>
        </w:rPr>
        <w:t>（二）申报主体属于企业的，其税务征管及统计关系应在宝安区；属事业单位的，应有事业单位管理部门批准证书；属于社会组织的，应依法在各级民政部门登记成立。</w:t>
      </w:r>
    </w:p>
    <w:p>
      <w:pPr>
        <w:pStyle w:val="5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/>
        <w:jc w:val="both"/>
        <w:textAlignment w:val="auto"/>
      </w:pPr>
      <w:r>
        <w:rPr>
          <w:rFonts w:hint="eastAsia"/>
        </w:rPr>
        <w:t>二</w:t>
      </w:r>
      <w:r>
        <w:t>、资助</w:t>
      </w:r>
      <w:r>
        <w:rPr>
          <w:rFonts w:hint="eastAsia"/>
        </w:rPr>
        <w:t>标准</w:t>
      </w:r>
    </w:p>
    <w:p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/>
        <w:textAlignment w:val="auto"/>
        <w:rPr>
          <w:rFonts w:cs="仿宋_GB2312"/>
          <w:kern w:val="0"/>
          <w:szCs w:val="32"/>
        </w:rPr>
      </w:pPr>
      <w:r>
        <w:rPr>
          <w:rFonts w:hint="eastAsia" w:cs="仿宋_GB2312"/>
          <w:kern w:val="0"/>
          <w:szCs w:val="32"/>
        </w:rPr>
        <w:t>（一）对标识注册量超</w:t>
      </w:r>
      <w:r>
        <w:rPr>
          <w:rFonts w:cs="仿宋_GB2312"/>
          <w:kern w:val="0"/>
          <w:szCs w:val="32"/>
        </w:rPr>
        <w:t>100</w:t>
      </w:r>
      <w:r>
        <w:rPr>
          <w:rFonts w:hint="eastAsia" w:cs="仿宋_GB2312"/>
          <w:kern w:val="0"/>
          <w:szCs w:val="32"/>
        </w:rPr>
        <w:t>万条且月均解析量超</w:t>
      </w:r>
      <w:r>
        <w:rPr>
          <w:rFonts w:cs="仿宋_GB2312"/>
          <w:kern w:val="0"/>
          <w:szCs w:val="32"/>
        </w:rPr>
        <w:t>10</w:t>
      </w:r>
      <w:r>
        <w:rPr>
          <w:rFonts w:hint="eastAsia" w:cs="仿宋_GB2312"/>
          <w:kern w:val="0"/>
          <w:szCs w:val="32"/>
        </w:rPr>
        <w:t>万次的企业，给予</w:t>
      </w:r>
      <w:r>
        <w:rPr>
          <w:rFonts w:cs="仿宋_GB2312"/>
          <w:kern w:val="0"/>
          <w:szCs w:val="32"/>
        </w:rPr>
        <w:t>10</w:t>
      </w:r>
      <w:r>
        <w:rPr>
          <w:rFonts w:hint="eastAsia" w:cs="仿宋_GB2312"/>
          <w:kern w:val="0"/>
          <w:szCs w:val="32"/>
        </w:rPr>
        <w:t>万元奖励。</w:t>
      </w:r>
    </w:p>
    <w:p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/>
        <w:textAlignment w:val="auto"/>
        <w:rPr>
          <w:rFonts w:cs="仿宋_GB2312"/>
          <w:kern w:val="0"/>
          <w:szCs w:val="32"/>
        </w:rPr>
      </w:pPr>
      <w:r>
        <w:rPr>
          <w:rFonts w:hint="eastAsia" w:cs="仿宋_GB2312"/>
          <w:kern w:val="0"/>
          <w:szCs w:val="32"/>
        </w:rPr>
        <w:t>（二）奖励条件：</w:t>
      </w:r>
    </w:p>
    <w:p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/>
        <w:textAlignment w:val="auto"/>
        <w:rPr>
          <w:rFonts w:cs="仿宋_GB2312"/>
          <w:kern w:val="0"/>
          <w:szCs w:val="32"/>
        </w:rPr>
      </w:pPr>
      <w:r>
        <w:rPr>
          <w:rFonts w:cs="仿宋_GB2312"/>
          <w:kern w:val="0"/>
          <w:szCs w:val="32"/>
        </w:rPr>
        <w:t>1.</w:t>
      </w:r>
      <w:r>
        <w:rPr>
          <w:rFonts w:hint="eastAsia" w:cs="仿宋_GB2312"/>
          <w:kern w:val="0"/>
          <w:szCs w:val="32"/>
        </w:rPr>
        <w:t>企业应符合项目申报主体基本条件；</w:t>
      </w:r>
    </w:p>
    <w:p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/>
        <w:textAlignment w:val="auto"/>
        <w:rPr>
          <w:rFonts w:cs="仿宋_GB2312"/>
          <w:kern w:val="0"/>
          <w:szCs w:val="32"/>
        </w:rPr>
      </w:pPr>
      <w:r>
        <w:rPr>
          <w:rFonts w:cs="仿宋_GB2312"/>
          <w:kern w:val="0"/>
          <w:szCs w:val="32"/>
        </w:rPr>
        <w:t>2.</w:t>
      </w:r>
      <w:r>
        <w:rPr>
          <w:rFonts w:hint="eastAsia" w:cs="仿宋_GB2312"/>
          <w:kern w:val="0"/>
          <w:szCs w:val="32"/>
        </w:rPr>
        <w:t>企业应接入宝安区的工业互联网标识解析二级节点；</w:t>
      </w:r>
    </w:p>
    <w:p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/>
        <w:textAlignment w:val="auto"/>
        <w:rPr>
          <w:rFonts w:cs="仿宋_GB2312"/>
          <w:kern w:val="0"/>
          <w:szCs w:val="32"/>
        </w:rPr>
      </w:pPr>
      <w:r>
        <w:rPr>
          <w:rFonts w:cs="仿宋_GB2312"/>
          <w:kern w:val="0"/>
          <w:szCs w:val="32"/>
        </w:rPr>
        <w:t>3.</w:t>
      </w:r>
      <w:r>
        <w:rPr>
          <w:rFonts w:hint="eastAsia" w:cs="仿宋_GB2312"/>
          <w:kern w:val="0"/>
          <w:szCs w:val="32"/>
        </w:rPr>
        <w:t>自接入二级节点起至申报之日止，企业接入二级节点时间不得少于</w:t>
      </w:r>
      <w:r>
        <w:rPr>
          <w:rFonts w:cs="仿宋_GB2312"/>
          <w:kern w:val="0"/>
          <w:szCs w:val="32"/>
        </w:rPr>
        <w:t>3</w:t>
      </w:r>
      <w:r>
        <w:rPr>
          <w:rFonts w:hint="eastAsia" w:cs="仿宋_GB2312"/>
          <w:kern w:val="0"/>
          <w:szCs w:val="32"/>
        </w:rPr>
        <w:t>个月，标识注册量累计超</w:t>
      </w:r>
      <w:r>
        <w:rPr>
          <w:rFonts w:cs="仿宋_GB2312"/>
          <w:kern w:val="0"/>
          <w:szCs w:val="32"/>
        </w:rPr>
        <w:t>100</w:t>
      </w:r>
      <w:r>
        <w:rPr>
          <w:rFonts w:hint="eastAsia" w:cs="仿宋_GB2312"/>
          <w:kern w:val="0"/>
          <w:szCs w:val="32"/>
        </w:rPr>
        <w:t>万条，企业标识月均解析量超</w:t>
      </w:r>
      <w:r>
        <w:rPr>
          <w:rFonts w:cs="仿宋_GB2312"/>
          <w:kern w:val="0"/>
          <w:szCs w:val="32"/>
        </w:rPr>
        <w:t>10</w:t>
      </w:r>
      <w:r>
        <w:rPr>
          <w:rFonts w:hint="eastAsia" w:cs="仿宋_GB2312"/>
          <w:kern w:val="0"/>
          <w:szCs w:val="32"/>
        </w:rPr>
        <w:t>万次。</w:t>
      </w:r>
    </w:p>
    <w:p>
      <w:pPr>
        <w:pStyle w:val="5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/>
        <w:jc w:val="both"/>
        <w:textAlignment w:val="auto"/>
      </w:pPr>
      <w:r>
        <w:rPr>
          <w:rFonts w:hint="eastAsia"/>
        </w:rPr>
        <w:t>三</w:t>
      </w:r>
      <w:r>
        <w:t>、</w:t>
      </w:r>
      <w:r>
        <w:rPr>
          <w:rFonts w:hint="eastAsia"/>
        </w:rPr>
        <w:t>申报材料</w:t>
      </w:r>
    </w:p>
    <w:p>
      <w:pPr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/>
        <w:textAlignment w:val="auto"/>
      </w:pPr>
      <w:r>
        <w:rPr>
          <w:rFonts w:hint="eastAsia"/>
        </w:rPr>
        <w:t>1.企业营业执照（复印件）、事业单位法人证书（复印件）、社会团体法人登记证书（复印件）之一；</w:t>
      </w:r>
    </w:p>
    <w:p>
      <w:pPr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/>
        <w:textAlignment w:val="auto"/>
      </w:pPr>
      <w:r>
        <w:rPr>
          <w:rFonts w:hint="eastAsia"/>
        </w:rPr>
        <w:t>2.法定代表人身份证明书，法定代表人身份证（复印件）。法人授权委托书和授权办理人身份证（复印件）；</w:t>
      </w:r>
    </w:p>
    <w:p>
      <w:pPr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/>
        <w:textAlignment w:val="auto"/>
      </w:pPr>
      <w:r>
        <w:rPr>
          <w:rFonts w:hint="eastAsia"/>
        </w:rPr>
        <w:t>3.银行开户证明（区内企业开户行应在宝安区）；</w:t>
      </w:r>
    </w:p>
    <w:p>
      <w:pPr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/>
        <w:textAlignment w:val="auto"/>
      </w:pPr>
      <w:r>
        <w:t>4</w:t>
      </w:r>
      <w:r>
        <w:rPr>
          <w:rFonts w:hint="eastAsia"/>
        </w:rPr>
        <w:t>.《工业互联网标识解析二级节点应用奖励项目申报表》；</w:t>
      </w:r>
    </w:p>
    <w:p>
      <w:pPr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/>
        <w:textAlignment w:val="auto"/>
      </w:pPr>
      <w:r>
        <w:t>5</w:t>
      </w:r>
      <w:r>
        <w:rPr>
          <w:rFonts w:hint="eastAsia"/>
        </w:rPr>
        <w:t>.企业累计标识注册量及月均解析量证明材料，包括：标识解析节点系统截图、统计报表等。</w:t>
      </w:r>
    </w:p>
    <w:p>
      <w:pPr>
        <w:pStyle w:val="5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/>
        <w:jc w:val="both"/>
        <w:textAlignment w:val="auto"/>
      </w:pPr>
      <w:r>
        <w:rPr>
          <w:rFonts w:hint="eastAsia"/>
        </w:rPr>
        <w:t>四</w:t>
      </w:r>
      <w:r>
        <w:t>、</w:t>
      </w:r>
      <w:r>
        <w:rPr>
          <w:rFonts w:hint="eastAsia"/>
        </w:rPr>
        <w:t>申报流程</w:t>
      </w:r>
    </w:p>
    <w:p>
      <w:pPr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/>
        <w:textAlignment w:val="auto"/>
        <w:rPr>
          <w:szCs w:val="32"/>
        </w:rPr>
      </w:pPr>
      <w:r>
        <w:rPr>
          <w:rFonts w:hint="eastAsia"/>
          <w:szCs w:val="32"/>
        </w:rPr>
        <w:t>本批次项目申报采取网上申报方式，申请人登录系统并填报项目申报所需材料。</w:t>
      </w:r>
      <w:r>
        <w:rPr>
          <w:rFonts w:hint="eastAsia"/>
          <w:b/>
          <w:bCs/>
          <w:szCs w:val="32"/>
        </w:rPr>
        <w:t>网上申报预审通过的企业还需提交纸质材料，</w:t>
      </w:r>
      <w:r>
        <w:rPr>
          <w:rFonts w:hint="eastAsia"/>
          <w:szCs w:val="32"/>
        </w:rPr>
        <w:t>由各街道政务服务大厅综合窗口接收纸质材料并做形式审查。</w:t>
      </w:r>
    </w:p>
    <w:p>
      <w:pPr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560" w:lineRule="exact"/>
        <w:ind w:firstLine="643"/>
        <w:textAlignment w:val="auto"/>
        <w:rPr>
          <w:rFonts w:ascii="楷体" w:hAnsi="楷体" w:eastAsia="楷体" w:cs="楷体"/>
          <w:b/>
          <w:bCs/>
        </w:rPr>
      </w:pPr>
      <w:r>
        <w:rPr>
          <w:rFonts w:hint="eastAsia" w:ascii="楷体" w:hAnsi="楷体" w:eastAsia="楷体" w:cs="楷体"/>
          <w:b/>
          <w:bCs/>
        </w:rPr>
        <w:t>网上申报时间：</w:t>
      </w:r>
    </w:p>
    <w:p>
      <w:pPr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/>
        <w:textAlignment w:val="auto"/>
        <w:rPr>
          <w:highlight w:val="none"/>
        </w:rPr>
      </w:pPr>
      <w:r>
        <w:rPr>
          <w:rFonts w:hint="eastAsia"/>
          <w:highlight w:val="none"/>
        </w:rPr>
        <w:t>202</w:t>
      </w:r>
      <w:r>
        <w:rPr>
          <w:rFonts w:hint="default"/>
          <w:highlight w:val="none"/>
        </w:rPr>
        <w:t>2</w:t>
      </w:r>
      <w:r>
        <w:rPr>
          <w:rFonts w:hint="eastAsia"/>
          <w:highlight w:val="none"/>
        </w:rPr>
        <w:t>年1月</w:t>
      </w:r>
      <w:r>
        <w:rPr>
          <w:rFonts w:hint="default"/>
          <w:highlight w:val="none"/>
        </w:rPr>
        <w:t>5</w:t>
      </w:r>
      <w:r>
        <w:rPr>
          <w:rFonts w:hint="eastAsia"/>
          <w:highlight w:val="none"/>
        </w:rPr>
        <w:t>日-</w:t>
      </w:r>
      <w:r>
        <w:rPr>
          <w:rFonts w:hint="default"/>
          <w:highlight w:val="none"/>
        </w:rPr>
        <w:t>2022年</w:t>
      </w:r>
      <w:r>
        <w:rPr>
          <w:rFonts w:hint="eastAsia"/>
          <w:highlight w:val="none"/>
        </w:rPr>
        <w:t>1月</w:t>
      </w:r>
      <w:r>
        <w:rPr>
          <w:rFonts w:hint="default"/>
          <w:highlight w:val="none"/>
        </w:rPr>
        <w:t>25</w:t>
      </w:r>
      <w:r>
        <w:rPr>
          <w:rFonts w:hint="eastAsia"/>
          <w:highlight w:val="none"/>
        </w:rPr>
        <w:t>日。</w:t>
      </w:r>
    </w:p>
    <w:p>
      <w:pPr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560" w:lineRule="exact"/>
        <w:ind w:firstLine="643"/>
        <w:textAlignment w:val="auto"/>
        <w:rPr>
          <w:rFonts w:ascii="楷体" w:hAnsi="楷体" w:eastAsia="楷体" w:cs="楷体"/>
          <w:b/>
          <w:bCs/>
          <w:highlight w:val="none"/>
        </w:rPr>
      </w:pPr>
      <w:r>
        <w:rPr>
          <w:rFonts w:hint="eastAsia" w:ascii="楷体" w:hAnsi="楷体" w:eastAsia="楷体" w:cs="楷体"/>
          <w:b/>
          <w:bCs/>
          <w:highlight w:val="none"/>
        </w:rPr>
        <w:t>申报网址：</w:t>
      </w:r>
    </w:p>
    <w:p>
      <w:pPr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/>
        <w:textAlignment w:val="auto"/>
        <w:rPr>
          <w:highlight w:val="none"/>
        </w:rPr>
      </w:pPr>
      <w:r>
        <w:rPr>
          <w:rFonts w:hint="eastAsia"/>
          <w:highlight w:val="none"/>
        </w:rPr>
        <w:t>https://qqzq.baoan.gov.cn/#/new-nav/policy</w:t>
      </w:r>
    </w:p>
    <w:p>
      <w:pPr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560" w:lineRule="exact"/>
        <w:ind w:firstLine="643"/>
        <w:textAlignment w:val="auto"/>
        <w:rPr>
          <w:rFonts w:ascii="楷体" w:hAnsi="楷体" w:eastAsia="楷体" w:cs="楷体"/>
          <w:b/>
          <w:bCs/>
          <w:highlight w:val="none"/>
        </w:rPr>
      </w:pPr>
      <w:r>
        <w:rPr>
          <w:rFonts w:hint="eastAsia" w:ascii="楷体" w:hAnsi="楷体" w:eastAsia="楷体" w:cs="楷体"/>
          <w:b/>
          <w:bCs/>
          <w:highlight w:val="none"/>
        </w:rPr>
        <w:t>纸质材料提交时间：</w:t>
      </w:r>
      <w:bookmarkStart w:id="0" w:name="_GoBack"/>
      <w:bookmarkEnd w:id="0"/>
    </w:p>
    <w:p>
      <w:pPr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/>
        <w:textAlignment w:val="auto"/>
        <w:rPr>
          <w:highlight w:val="none"/>
        </w:rPr>
      </w:pPr>
      <w:r>
        <w:rPr>
          <w:rFonts w:hint="eastAsia"/>
          <w:szCs w:val="32"/>
          <w:highlight w:val="none"/>
        </w:rPr>
        <w:t>202</w:t>
      </w:r>
      <w:r>
        <w:rPr>
          <w:rFonts w:hint="default"/>
          <w:szCs w:val="32"/>
          <w:highlight w:val="none"/>
        </w:rPr>
        <w:t>2</w:t>
      </w:r>
      <w:r>
        <w:rPr>
          <w:rFonts w:hint="eastAsia"/>
          <w:szCs w:val="32"/>
          <w:highlight w:val="none"/>
        </w:rPr>
        <w:t>年1月</w:t>
      </w:r>
      <w:r>
        <w:rPr>
          <w:rFonts w:hint="default"/>
          <w:szCs w:val="32"/>
          <w:highlight w:val="none"/>
        </w:rPr>
        <w:t>5</w:t>
      </w:r>
      <w:r>
        <w:rPr>
          <w:rFonts w:hint="eastAsia"/>
          <w:szCs w:val="32"/>
          <w:highlight w:val="none"/>
        </w:rPr>
        <w:t>日-202</w:t>
      </w:r>
      <w:r>
        <w:rPr>
          <w:szCs w:val="32"/>
          <w:highlight w:val="none"/>
        </w:rPr>
        <w:t>2</w:t>
      </w:r>
      <w:r>
        <w:rPr>
          <w:rFonts w:hint="eastAsia"/>
          <w:szCs w:val="32"/>
          <w:highlight w:val="none"/>
        </w:rPr>
        <w:t>年1月</w:t>
      </w:r>
      <w:r>
        <w:rPr>
          <w:rFonts w:hint="default"/>
          <w:szCs w:val="32"/>
          <w:highlight w:val="none"/>
        </w:rPr>
        <w:t>27</w:t>
      </w:r>
      <w:r>
        <w:rPr>
          <w:rFonts w:hint="eastAsia"/>
          <w:szCs w:val="32"/>
          <w:highlight w:val="none"/>
        </w:rPr>
        <w:t>日。</w:t>
      </w:r>
    </w:p>
    <w:p>
      <w:pPr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560" w:lineRule="exact"/>
        <w:ind w:firstLine="643"/>
        <w:textAlignment w:val="auto"/>
        <w:rPr>
          <w:rFonts w:ascii="楷体" w:hAnsi="楷体" w:eastAsia="楷体" w:cs="楷体"/>
          <w:b/>
          <w:bCs/>
        </w:rPr>
      </w:pPr>
      <w:r>
        <w:rPr>
          <w:rFonts w:hint="eastAsia" w:ascii="楷体" w:hAnsi="楷体" w:eastAsia="楷体" w:cs="楷体"/>
          <w:b/>
          <w:bCs/>
        </w:rPr>
        <w:t>纸质材料提交地点：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 xml:space="preserve">宝安区各街道行政服务大厅现场办理地址为：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  <w:lang w:val="en-US" w:eastAsia="zh-CN"/>
        </w:rPr>
        <w:t>1</w:t>
      </w:r>
      <w:r>
        <w:rPr>
          <w:rFonts w:hint="default" w:ascii="仿宋_GB2312" w:hAnsi="仿宋_GB2312" w:cs="仿宋_GB2312"/>
          <w:szCs w:val="32"/>
        </w:rPr>
        <w:t>.</w:t>
      </w:r>
      <w:r>
        <w:rPr>
          <w:rFonts w:hint="eastAsia" w:ascii="仿宋_GB2312" w:hAnsi="仿宋_GB2312" w:eastAsia="仿宋_GB2312" w:cs="仿宋_GB2312"/>
          <w:szCs w:val="32"/>
        </w:rPr>
        <w:t>深圳市宝安区新安街道办事处行政服务大厅综合窗口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办理地点：</w:t>
      </w:r>
      <w:r>
        <w:rPr>
          <w:rFonts w:hint="default" w:ascii="仿宋_GB2312" w:hAnsi="仿宋_GB2312" w:cs="仿宋_GB2312"/>
          <w:szCs w:val="32"/>
        </w:rPr>
        <w:t>深</w:t>
      </w:r>
      <w:r>
        <w:rPr>
          <w:rFonts w:hint="eastAsia" w:ascii="仿宋_GB2312" w:hAnsi="仿宋_GB2312" w:eastAsia="仿宋_GB2312" w:cs="仿宋_GB2312"/>
          <w:szCs w:val="32"/>
        </w:rPr>
        <w:t>圳市宝安区新安街道永嘉路新安综合服务大楼（万达广场旁）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default" w:ascii="仿宋_GB2312" w:hAnsi="仿宋_GB2312" w:cs="仿宋_GB2312"/>
          <w:szCs w:val="32"/>
        </w:rPr>
        <w:t>2.</w:t>
      </w:r>
      <w:r>
        <w:rPr>
          <w:rFonts w:hint="eastAsia" w:ascii="仿宋_GB2312" w:hAnsi="仿宋_GB2312" w:eastAsia="仿宋_GB2312" w:cs="仿宋_GB2312"/>
          <w:szCs w:val="32"/>
        </w:rPr>
        <w:t>深圳市宝安区西乡街道办事处行政服务大厅综合窗口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办理地点：深圳市宝安区西乡街道宝民二路110号1-2楼行政服务大厅（恒丰海悦酒店对面）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default" w:ascii="仿宋_GB2312" w:hAnsi="仿宋_GB2312" w:cs="仿宋_GB2312"/>
          <w:szCs w:val="32"/>
        </w:rPr>
        <w:t>3.</w:t>
      </w:r>
      <w:r>
        <w:rPr>
          <w:rFonts w:hint="eastAsia" w:ascii="仿宋_GB2312" w:hAnsi="仿宋_GB2312" w:eastAsia="仿宋_GB2312" w:cs="仿宋_GB2312"/>
          <w:szCs w:val="32"/>
        </w:rPr>
        <w:t>深圳市宝安区航城街道办事处行政服务大厅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办理地点：深圳市宝安区航城街道凯成二路17号政务楼一楼航城街道行政服务大厅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default" w:ascii="仿宋_GB2312" w:hAnsi="仿宋_GB2312" w:cs="仿宋_GB2312"/>
          <w:szCs w:val="32"/>
        </w:rPr>
        <w:t>4.</w:t>
      </w:r>
      <w:r>
        <w:rPr>
          <w:rFonts w:hint="eastAsia" w:ascii="仿宋_GB2312" w:hAnsi="仿宋_GB2312" w:eastAsia="仿宋_GB2312" w:cs="仿宋_GB2312"/>
          <w:szCs w:val="32"/>
        </w:rPr>
        <w:t>深圳市宝安区福永街道办事处行政服务大厅综合窗口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办理地点：深圳市宝安区福永街道福永大道303号万福大厦一楼行政服务大厅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default" w:ascii="仿宋_GB2312" w:hAnsi="仿宋_GB2312" w:cs="仿宋_GB2312"/>
          <w:szCs w:val="32"/>
        </w:rPr>
        <w:t>5.</w:t>
      </w:r>
      <w:r>
        <w:rPr>
          <w:rFonts w:hint="eastAsia" w:ascii="仿宋_GB2312" w:hAnsi="仿宋_GB2312" w:eastAsia="仿宋_GB2312" w:cs="仿宋_GB2312"/>
          <w:szCs w:val="32"/>
        </w:rPr>
        <w:t>深圳市宝安区福海街道办事处行政服务大厅综合窗口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办理地点：深圳市宝安区福海街道和平社区永和路北8号福海街道办事处行政服务大厅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default" w:ascii="仿宋_GB2312" w:hAnsi="仿宋_GB2312" w:cs="仿宋_GB2312"/>
          <w:szCs w:val="32"/>
        </w:rPr>
        <w:t>6.</w:t>
      </w:r>
      <w:r>
        <w:rPr>
          <w:rFonts w:hint="eastAsia" w:ascii="仿宋_GB2312" w:hAnsi="仿宋_GB2312" w:eastAsia="仿宋_GB2312" w:cs="仿宋_GB2312"/>
          <w:szCs w:val="32"/>
        </w:rPr>
        <w:t>深圳市宝安区沙井街道办事处行政服务大厅综合窗口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办理地点：深圳市宝安区沙井街道银图路1号一楼行政服务大厅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default" w:ascii="仿宋_GB2312" w:hAnsi="仿宋_GB2312" w:cs="仿宋_GB2312"/>
          <w:szCs w:val="32"/>
        </w:rPr>
        <w:t>7.</w:t>
      </w:r>
      <w:r>
        <w:rPr>
          <w:rFonts w:hint="eastAsia" w:ascii="仿宋_GB2312" w:hAnsi="仿宋_GB2312" w:eastAsia="仿宋_GB2312" w:cs="仿宋_GB2312"/>
          <w:szCs w:val="32"/>
        </w:rPr>
        <w:t>深圳市宝安区新桥街道办事处行政服务大厅综合窗口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办理地点：深圳市宝安区新桥街道上寮企安路3号行政服务大楼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default" w:ascii="仿宋_GB2312" w:hAnsi="仿宋_GB2312" w:cs="仿宋_GB2312"/>
          <w:szCs w:val="32"/>
        </w:rPr>
        <w:t>8.</w:t>
      </w:r>
      <w:r>
        <w:rPr>
          <w:rFonts w:hint="eastAsia" w:ascii="仿宋_GB2312" w:hAnsi="仿宋_GB2312" w:eastAsia="仿宋_GB2312" w:cs="仿宋_GB2312"/>
          <w:szCs w:val="32"/>
        </w:rPr>
        <w:t>深圳市宝安区松岗街道办事处行政服务大厅综合窗口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办理地点：深圳市宝安区松岗街道金开路1号东方二六大厦二楼行政服务大厅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default" w:ascii="仿宋_GB2312" w:hAnsi="仿宋_GB2312" w:cs="仿宋_GB2312"/>
          <w:szCs w:val="32"/>
        </w:rPr>
        <w:t>9.</w:t>
      </w:r>
      <w:r>
        <w:rPr>
          <w:rFonts w:hint="eastAsia" w:ascii="仿宋_GB2312" w:hAnsi="仿宋_GB2312" w:eastAsia="仿宋_GB2312" w:cs="仿宋_GB2312"/>
          <w:szCs w:val="32"/>
        </w:rPr>
        <w:t>深圳市宝安区燕罗街道办事处行政服务大厅综合窗口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办理地点：深圳市宝安区燕罗街道罗田社区燕罗公路190号（罗田市场斜对面）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default" w:ascii="仿宋_GB2312" w:hAnsi="仿宋_GB2312" w:cs="仿宋_GB2312"/>
          <w:szCs w:val="32"/>
        </w:rPr>
        <w:t>10.</w:t>
      </w:r>
      <w:r>
        <w:rPr>
          <w:rFonts w:hint="eastAsia" w:ascii="仿宋_GB2312" w:hAnsi="仿宋_GB2312" w:eastAsia="仿宋_GB2312" w:cs="仿宋_GB2312"/>
          <w:szCs w:val="32"/>
        </w:rPr>
        <w:t>深圳市宝安区石岩街道办事处行政服务大厅综合窗口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办理地点：深圳市宝安区石岩街道育才路1000号石岩文化艺术中心一楼石岩街道办事处行政服务大厅</w:t>
      </w:r>
    </w:p>
    <w:p>
      <w:pPr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/>
        <w:textAlignment w:val="auto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五、注意事项</w:t>
      </w:r>
    </w:p>
    <w:p>
      <w:pPr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/>
        <w:textAlignment w:val="auto"/>
        <w:rPr>
          <w:rFonts w:hAnsi="宋体"/>
          <w:szCs w:val="32"/>
        </w:rPr>
      </w:pPr>
      <w:r>
        <w:rPr>
          <w:rFonts w:hint="eastAsia"/>
          <w:szCs w:val="32"/>
        </w:rPr>
        <w:t>1.企业应按照要求提供真实、完整的申请材料，每一项材料应加盖企业公章，除</w:t>
      </w:r>
      <w:r>
        <w:rPr>
          <w:rFonts w:hint="eastAsia"/>
        </w:rPr>
        <w:t>法定代表人身份证外，</w:t>
      </w:r>
      <w:r>
        <w:rPr>
          <w:rFonts w:hint="eastAsia"/>
          <w:szCs w:val="32"/>
        </w:rPr>
        <w:t>各类证照、证明文件复印件需验原件。网上申报</w:t>
      </w:r>
      <w:r>
        <w:rPr>
          <w:szCs w:val="32"/>
        </w:rPr>
        <w:t>后</w:t>
      </w:r>
      <w:r>
        <w:rPr>
          <w:rFonts w:hint="eastAsia"/>
          <w:szCs w:val="32"/>
        </w:rPr>
        <w:t>打印通过预审的申请表装订在第1页，其余的材料按照申报顺序装订，材料一式一份，用A4纸装订成册。</w:t>
      </w:r>
    </w:p>
    <w:p>
      <w:pPr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/>
        <w:textAlignment w:val="auto"/>
        <w:rPr>
          <w:szCs w:val="32"/>
        </w:rPr>
      </w:pPr>
      <w:r>
        <w:rPr>
          <w:rFonts w:hint="eastAsia"/>
          <w:szCs w:val="32"/>
        </w:rPr>
        <w:t>2.同一</w:t>
      </w:r>
      <w:r>
        <w:rPr>
          <w:szCs w:val="32"/>
        </w:rPr>
        <w:t>事项</w:t>
      </w:r>
      <w:r>
        <w:rPr>
          <w:rFonts w:hint="eastAsia"/>
          <w:szCs w:val="32"/>
        </w:rPr>
        <w:t>只能</w:t>
      </w:r>
      <w:r>
        <w:rPr>
          <w:szCs w:val="32"/>
        </w:rPr>
        <w:t>申报一</w:t>
      </w:r>
      <w:r>
        <w:rPr>
          <w:rFonts w:hint="eastAsia"/>
          <w:szCs w:val="32"/>
        </w:rPr>
        <w:t>项</w:t>
      </w:r>
      <w:r>
        <w:rPr>
          <w:szCs w:val="32"/>
        </w:rPr>
        <w:t>资助政策，不得重复申报或多头申报。</w:t>
      </w:r>
      <w:r>
        <w:rPr>
          <w:rFonts w:hint="eastAsia"/>
          <w:szCs w:val="32"/>
        </w:rPr>
        <w:t xml:space="preserve"> </w:t>
      </w:r>
    </w:p>
    <w:p>
      <w:pPr>
        <w:pStyle w:val="8"/>
        <w:pageBreakBefore w:val="0"/>
        <w:widowControl/>
        <w:shd w:val="clear" w:color="auto" w:fill="FFFFFF"/>
        <w:kinsoku/>
        <w:wordWrap/>
        <w:overflowPunct/>
        <w:topLinePunct w:val="0"/>
        <w:bidi w:val="0"/>
        <w:snapToGrid/>
        <w:spacing w:line="560" w:lineRule="exact"/>
        <w:ind w:firstLine="640"/>
        <w:textAlignment w:val="auto"/>
        <w:rPr>
          <w:rFonts w:hint="default" w:ascii="仿宋_GB2312" w:hAnsi="Times New Roman" w:eastAsia="仿宋_GB2312"/>
          <w:kern w:val="2"/>
          <w:sz w:val="32"/>
          <w:szCs w:val="32"/>
        </w:rPr>
      </w:pPr>
      <w:r>
        <w:rPr>
          <w:rFonts w:ascii="仿宋_GB2312" w:hAnsi="Times New Roman" w:eastAsia="仿宋_GB2312"/>
          <w:kern w:val="2"/>
          <w:sz w:val="32"/>
          <w:szCs w:val="32"/>
        </w:rPr>
        <w:t>3.项目咨询：卢工27848803 ；申报系统技术人员</w:t>
      </w:r>
      <w:r>
        <w:rPr>
          <w:rFonts w:hint="default" w:ascii="仿宋_GB2312" w:hAnsi="Times New Roman" w:eastAsia="仿宋_GB2312"/>
          <w:kern w:val="2"/>
          <w:sz w:val="32"/>
          <w:szCs w:val="32"/>
        </w:rPr>
        <w:t>29991101</w:t>
      </w:r>
      <w:r>
        <w:rPr>
          <w:rFonts w:ascii="仿宋_GB2312" w:hAnsi="Times New Roman" w:eastAsia="仿宋_GB2312"/>
          <w:kern w:val="2"/>
          <w:sz w:val="32"/>
          <w:szCs w:val="32"/>
        </w:rPr>
        <w:t>。</w:t>
      </w:r>
    </w:p>
    <w:p>
      <w:pPr>
        <w:spacing w:line="240" w:lineRule="auto"/>
        <w:ind w:firstLine="640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B0067B"/>
    <w:multiLevelType w:val="singleLevel"/>
    <w:tmpl w:val="FCB0067B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FD2436B"/>
    <w:rsid w:val="00201762"/>
    <w:rsid w:val="00205670"/>
    <w:rsid w:val="00241B6A"/>
    <w:rsid w:val="00303745"/>
    <w:rsid w:val="0032328C"/>
    <w:rsid w:val="003D71B7"/>
    <w:rsid w:val="0045602E"/>
    <w:rsid w:val="0050202D"/>
    <w:rsid w:val="006258CD"/>
    <w:rsid w:val="006501D8"/>
    <w:rsid w:val="008C1A8F"/>
    <w:rsid w:val="008E2972"/>
    <w:rsid w:val="00901882"/>
    <w:rsid w:val="00937B50"/>
    <w:rsid w:val="00941FC7"/>
    <w:rsid w:val="00A346A6"/>
    <w:rsid w:val="00AB7BAA"/>
    <w:rsid w:val="00D45362"/>
    <w:rsid w:val="00E17176"/>
    <w:rsid w:val="00E300BE"/>
    <w:rsid w:val="00EA3EDA"/>
    <w:rsid w:val="00EB0132"/>
    <w:rsid w:val="1DCE60A6"/>
    <w:rsid w:val="25114CBF"/>
    <w:rsid w:val="3C7B45FF"/>
    <w:rsid w:val="53681F8C"/>
    <w:rsid w:val="54312A2C"/>
    <w:rsid w:val="58873C99"/>
    <w:rsid w:val="5B7BCBBC"/>
    <w:rsid w:val="5DC5471D"/>
    <w:rsid w:val="60392CC5"/>
    <w:rsid w:val="60720EE4"/>
    <w:rsid w:val="69EFE004"/>
    <w:rsid w:val="6C69268F"/>
    <w:rsid w:val="776D335E"/>
    <w:rsid w:val="77DEEC05"/>
    <w:rsid w:val="784C2EB1"/>
    <w:rsid w:val="7F6D25EB"/>
    <w:rsid w:val="7FD2436B"/>
    <w:rsid w:val="B9FFB75D"/>
    <w:rsid w:val="CFDF48C1"/>
    <w:rsid w:val="CFF5BA45"/>
    <w:rsid w:val="DEF89F4A"/>
    <w:rsid w:val="E5FF71D0"/>
    <w:rsid w:val="EEFF3FB6"/>
    <w:rsid w:val="FD3F1C2E"/>
    <w:rsid w:val="FFFFE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80" w:lineRule="exact"/>
      <w:ind w:firstLine="200" w:firstLineChars="200"/>
      <w:jc w:val="both"/>
    </w:pPr>
    <w:rPr>
      <w:rFonts w:ascii="仿宋_GB2312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jc w:val="left"/>
      <w:outlineLvl w:val="0"/>
    </w:pPr>
    <w:rPr>
      <w:rFonts w:eastAsia="黑体"/>
      <w:bCs/>
      <w:kern w:val="44"/>
      <w:szCs w:val="4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after="120"/>
    </w:pPr>
    <w:rPr>
      <w:rFonts w:ascii="Calibri" w:hAnsi="Calibri" w:eastAsia="宋体"/>
    </w:rPr>
  </w:style>
  <w:style w:type="paragraph" w:styleId="3">
    <w:name w:val="Body Text First Indent 2"/>
    <w:basedOn w:val="4"/>
    <w:qFormat/>
    <w:uiPriority w:val="0"/>
    <w:pPr>
      <w:ind w:firstLine="420"/>
    </w:p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7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8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/>
      <w:kern w:val="0"/>
      <w:sz w:val="24"/>
    </w:rPr>
  </w:style>
  <w:style w:type="paragraph" w:styleId="9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libri Light" w:hAnsi="Calibri Light" w:eastAsia="宋体"/>
      <w:b/>
      <w:bCs/>
      <w:szCs w:val="32"/>
    </w:rPr>
  </w:style>
  <w:style w:type="character" w:customStyle="1" w:styleId="12">
    <w:name w:val="页眉 字符"/>
    <w:basedOn w:val="11"/>
    <w:link w:val="7"/>
    <w:qFormat/>
    <w:uiPriority w:val="0"/>
    <w:rPr>
      <w:rFonts w:ascii="仿宋_GB2312" w:eastAsia="仿宋_GB2312"/>
      <w:kern w:val="2"/>
      <w:sz w:val="18"/>
      <w:szCs w:val="18"/>
    </w:rPr>
  </w:style>
  <w:style w:type="character" w:customStyle="1" w:styleId="13">
    <w:name w:val="页脚 字符"/>
    <w:basedOn w:val="11"/>
    <w:link w:val="6"/>
    <w:qFormat/>
    <w:uiPriority w:val="0"/>
    <w:rPr>
      <w:rFonts w:ascii="仿宋_GB2312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325</Words>
  <Characters>1858</Characters>
  <Lines>15</Lines>
  <Paragraphs>4</Paragraphs>
  <TotalTime>7</TotalTime>
  <ScaleCrop>false</ScaleCrop>
  <LinksUpToDate>false</LinksUpToDate>
  <CharactersWithSpaces>2179</CharactersWithSpaces>
  <Application>WPS Office_11.8.2.10681_F1E327BC-269C-435d-A152-05C5408002CA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2021-12-22T09:36:00Z</dcterms:created>
  <dc:creator>bajmj1304</dc:creator>
  <cp:lastModifiedBy>工信局经济运行与产业资金科</cp:lastModifiedBy>
  <dcterms:modified xsi:type="dcterms:W3CDTF">2022-01-05T15:18:56Z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2052-11.8.2.10681</vt:lpwstr>
  </property>
</Properties>
</file>