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CESI仿宋-GB2312" w:hAnsi="CESI仿宋-GB2312" w:eastAsia="CESI仿宋-GB2312" w:cs="CESI仿宋-GB2312"/>
          <w:sz w:val="32"/>
          <w:szCs w:val="32"/>
        </w:rPr>
        <w:t>附件：</w:t>
      </w:r>
    </w:p>
    <w:p>
      <w:pPr>
        <w:spacing w:after="240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2022年度</w:t>
      </w:r>
      <w:r>
        <w:rPr>
          <w:rFonts w:ascii="黑体" w:hAnsi="黑体" w:eastAsia="黑体"/>
          <w:b/>
          <w:sz w:val="32"/>
          <w:szCs w:val="32"/>
        </w:rPr>
        <w:t>前海</w:t>
      </w:r>
      <w:r>
        <w:rPr>
          <w:rFonts w:hint="eastAsia" w:ascii="黑体" w:hAnsi="黑体" w:eastAsia="黑体"/>
          <w:b/>
          <w:sz w:val="32"/>
          <w:szCs w:val="32"/>
        </w:rPr>
        <w:t>（三湾片区）</w:t>
      </w:r>
      <w:r>
        <w:rPr>
          <w:rFonts w:ascii="黑体" w:hAnsi="黑体" w:eastAsia="黑体"/>
          <w:b/>
          <w:sz w:val="32"/>
          <w:szCs w:val="32"/>
        </w:rPr>
        <w:t>建设工程</w:t>
      </w:r>
      <w:r>
        <w:rPr>
          <w:rFonts w:hint="eastAsia" w:ascii="黑体" w:hAnsi="黑体" w:eastAsia="黑体"/>
          <w:b/>
          <w:sz w:val="32"/>
          <w:szCs w:val="32"/>
        </w:rPr>
        <w:t>劳动竞赛</w:t>
      </w: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进步项目名单</w:t>
      </w:r>
      <w:r>
        <w:rPr>
          <w:rFonts w:hint="eastAsia" w:ascii="黑体" w:hAnsi="黑体" w:eastAsia="黑体"/>
          <w:b/>
          <w:sz w:val="32"/>
          <w:szCs w:val="32"/>
        </w:rPr>
        <w:tab/>
      </w:r>
    </w:p>
    <w:tbl>
      <w:tblPr>
        <w:tblStyle w:val="3"/>
        <w:tblW w:w="150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2340"/>
        <w:gridCol w:w="5399"/>
        <w:gridCol w:w="6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5399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参建单位</w:t>
            </w:r>
          </w:p>
        </w:tc>
        <w:tc>
          <w:tcPr>
            <w:tcW w:w="6456" w:type="dxa"/>
            <w:noWrap w:val="0"/>
            <w:vAlign w:val="center"/>
          </w:tcPr>
          <w:p>
            <w:pPr>
              <w:spacing w:line="300" w:lineRule="exact"/>
              <w:ind w:left="1405" w:hanging="1405" w:hangingChars="5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进步表现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泰康深圳前海医院项目建设工程施工总承包工程</w:t>
            </w:r>
          </w:p>
        </w:tc>
        <w:tc>
          <w:tcPr>
            <w:tcW w:w="53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建设单位：泰康深圳前海国际医院投资有限公司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施工单位：中建三局集团有限公司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监理单位：中海监理有限公司</w:t>
            </w:r>
          </w:p>
        </w:tc>
        <w:tc>
          <w:tcPr>
            <w:tcW w:w="6456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drawing>
                <wp:inline distT="0" distB="0" distL="114300" distR="114300">
                  <wp:extent cx="3962400" cy="2190750"/>
                  <wp:effectExtent l="4445" t="4445" r="10795" b="14605"/>
                  <wp:docPr id="1" name="图表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"/>
                    </a:graphicData>
                  </a:graphic>
                </wp:inline>
              </w:drawing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wN2Q1OTM0ODI3NDQ1N2U1OWRmNmI3YzU0ODczNWEifQ=="/>
  </w:docVars>
  <w:rsids>
    <w:rsidRoot w:val="7FCB44BE"/>
    <w:rsid w:val="7FCB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widowControl/>
      <w:jc w:val="center"/>
    </w:pPr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1.xml"/><Relationship Id="rId1" Type="http://schemas.openxmlformats.org/officeDocument/2006/relationships/oleObject" Target="file:///F:\&#25490;&#21517;&#26354;&#32447;&#22270;-1.0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084452815577686"/>
          <c:y val="0.135048657420334"/>
          <c:w val="0.79934845840605"/>
          <c:h val="0.653566681435534"/>
        </c:manualLayout>
      </c:layout>
      <c:lineChart>
        <c:grouping val="standard"/>
        <c:varyColors val="0"/>
        <c:ser>
          <c:idx val="0"/>
          <c:order val="0"/>
          <c:tx>
            <c:strRef>
              <c:f>'F:\[排名曲线图.xlsx]排名曲线图 '!$B$9</c:f>
              <c:strCache>
                <c:ptCount val="1"/>
                <c:pt idx="0">
                  <c:v/>
                </c:pt>
              </c:strCache>
            </c:strRef>
          </c:tx>
          <c:spPr>
            <a:ln w="31750" cap="rnd" cmpd="sng" algn="ctr">
              <a:solidFill>
                <a:srgbClr val="5B9BD5"/>
              </a:solidFill>
              <a:prstDash val="solid"/>
              <a:round/>
            </a:ln>
            <a:effectLst/>
          </c:spPr>
          <c:marker>
            <c:symbol val="square"/>
            <c:size val="5"/>
            <c:spPr>
              <a:gradFill rotWithShape="1">
                <a:gsLst>
                  <a:gs pos="0">
                    <a:srgbClr val="71A6DB">
                      <a:satMod val="103000"/>
                      <a:lumMod val="102000"/>
                      <a:tint val="94000"/>
                    </a:srgbClr>
                  </a:gs>
                  <a:gs pos="50000">
                    <a:srgbClr val="559BDB">
                      <a:satMod val="110000"/>
                      <a:lumMod val="100000"/>
                      <a:shade val="100000"/>
                    </a:srgbClr>
                  </a:gs>
                  <a:gs pos="100000">
                    <a:srgbClr val="438AC9">
                      <a:lumMod val="99000"/>
                      <a:satMod val="120000"/>
                      <a:shade val="78000"/>
                    </a:srgbClr>
                  </a:gs>
                </a:gsLst>
                <a:lin ang="5400000" scaled="0"/>
              </a:gradFill>
              <a:ln w="12700" cap="flat" cmpd="sng" algn="ctr">
                <a:solidFill>
                  <a:srgbClr val="E7E6E6"/>
                </a:solidFill>
                <a:prstDash val="solid"/>
                <a:round/>
              </a:ln>
              <a:effectLst/>
            </c:spPr>
          </c:marker>
          <c:dPt>
            <c:idx val="11"/>
            <c:marker>
              <c:symbol val="square"/>
              <c:size val="5"/>
              <c:spPr>
                <a:gradFill rotWithShape="1">
                  <a:gsLst>
                    <a:gs pos="0">
                      <a:srgbClr val="71A6DB">
                        <a:satMod val="103000"/>
                        <a:lumMod val="102000"/>
                        <a:tint val="94000"/>
                      </a:srgbClr>
                    </a:gs>
                    <a:gs pos="50000">
                      <a:srgbClr val="559BDB">
                        <a:satMod val="110000"/>
                        <a:lumMod val="100000"/>
                        <a:shade val="100000"/>
                      </a:srgbClr>
                    </a:gs>
                    <a:gs pos="100000">
                      <a:srgbClr val="438AC9">
                        <a:lumMod val="99000"/>
                        <a:satMod val="120000"/>
                        <a:shade val="78000"/>
                      </a:srgbClr>
                    </a:gs>
                  </a:gsLst>
                  <a:lin ang="5400000" scaled="0"/>
                </a:gradFill>
                <a:ln w="12700" cap="flat" cmpd="sng" algn="ctr">
                  <a:noFill/>
                  <a:prstDash val="solid"/>
                  <a:round/>
                </a:ln>
                <a:effectLst/>
              </c:spPr>
            </c:marker>
            <c:bubble3D val="0"/>
            <c:spPr>
              <a:ln w="31750" cap="rnd" cmpd="sng" algn="ctr">
                <a:noFill/>
                <a:prstDash val="solid"/>
                <a:round/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700" b="0" i="0" u="none" strike="noStrike" kern="1200" baseline="0">
                    <a:solidFill>
                      <a:srgbClr val="2E75B6">
                        <a:lumMod val="75000"/>
                      </a:srgbClr>
                    </a:solidFill>
                    <a:latin typeface="微软雅黑" panose="020B0503020204020204" pitchFamily="34" charset="-122"/>
                    <a:ea typeface="微软雅黑" panose="020B0503020204020204" pitchFamily="34" charset="-122"/>
                    <a:cs typeface="微软雅黑" panose="020B0503020204020204" pitchFamily="34" charset="-122"/>
                    <a:sym typeface="微软雅黑" panose="020B0503020204020204" pitchFamily="34" charset="-122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'F:\[排名曲线图.xlsx]排名曲线图 '!$C$8:$N$8</c:f>
              <c:numCache>
                <c:formatCode>General</c:formatCode>
                <c:ptCount val="12"/>
                <c:pt idx="0">
                  <c:v>2022.1</c:v>
                </c:pt>
                <c:pt idx="1">
                  <c:v>2022.2</c:v>
                </c:pt>
                <c:pt idx="2">
                  <c:v>2022.3</c:v>
                </c:pt>
                <c:pt idx="3">
                  <c:v>2022.4</c:v>
                </c:pt>
                <c:pt idx="4">
                  <c:v>2022.5</c:v>
                </c:pt>
                <c:pt idx="5">
                  <c:v>2022.6</c:v>
                </c:pt>
                <c:pt idx="6">
                  <c:v>2022.7</c:v>
                </c:pt>
                <c:pt idx="7">
                  <c:v>2022.8</c:v>
                </c:pt>
                <c:pt idx="8">
                  <c:v>2022.9</c:v>
                </c:pt>
                <c:pt idx="9">
                  <c:v>2022.1</c:v>
                </c:pt>
                <c:pt idx="10">
                  <c:v>2022.11</c:v>
                </c:pt>
                <c:pt idx="11">
                  <c:v>2022.12</c:v>
                </c:pt>
              </c:numCache>
            </c:numRef>
          </c:cat>
          <c:val>
            <c:numRef>
              <c:f>'F:\[排名曲线图.xlsx]排名曲线图 '!$C$9:$N$9</c:f>
              <c:numCache>
                <c:formatCode>General</c:formatCode>
                <c:ptCount val="12"/>
              </c:numCache>
            </c:numRef>
          </c:val>
          <c:smooth val="0"/>
        </c:ser>
        <c:ser>
          <c:idx val="3"/>
          <c:order val="2"/>
          <c:tx>
            <c:strRef>
              <c:f>'F:\[排名曲线图.xlsx]排名曲线图 '!$B$11</c:f>
              <c:strCache>
                <c:ptCount val="1"/>
                <c:pt idx="0">
                  <c:v/>
                </c:pt>
              </c:strCache>
            </c:strRef>
          </c:tx>
          <c:spPr>
            <a:ln w="31750" cap="rnd" cmpd="sng" algn="ctr">
              <a:solidFill>
                <a:srgbClr val="FFC000"/>
              </a:solidFill>
              <a:prstDash val="solid"/>
              <a:round/>
            </a:ln>
            <a:effectLst/>
          </c:spPr>
          <c:marker>
            <c:symbol val="circle"/>
            <c:size val="6"/>
            <c:spPr>
              <a:solidFill>
                <a:srgbClr val="FFC000"/>
              </a:solidFill>
              <a:ln w="12700" cap="flat" cmpd="sng" algn="ctr">
                <a:solidFill>
                  <a:srgbClr val="E7E6E6"/>
                </a:solidFill>
                <a:prstDash val="solid"/>
                <a:round/>
              </a:ln>
              <a:effectLst/>
            </c:spPr>
          </c:marker>
          <c:dPt>
            <c:idx val="11"/>
            <c:marker>
              <c:symbol val="circle"/>
              <c:size val="6"/>
              <c:spPr>
                <a:solidFill>
                  <a:srgbClr val="FFC000"/>
                </a:solidFill>
                <a:ln w="12700" cap="flat" cmpd="sng" algn="ctr">
                  <a:noFill/>
                  <a:prstDash val="solid"/>
                  <a:round/>
                </a:ln>
                <a:effectLst/>
              </c:spPr>
            </c:marker>
            <c:bubble3D val="0"/>
            <c:spPr>
              <a:ln w="31750" cap="rnd" cmpd="sng" algn="ctr">
                <a:noFill/>
                <a:prstDash val="solid"/>
                <a:round/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700" b="0" i="0" u="none" strike="noStrike" kern="1200" baseline="0">
                    <a:solidFill>
                      <a:srgbClr val="FFC000"/>
                    </a:solidFill>
                    <a:latin typeface="微软雅黑" panose="020B0503020204020204" pitchFamily="34" charset="-122"/>
                    <a:ea typeface="微软雅黑" panose="020B0503020204020204" pitchFamily="34" charset="-122"/>
                    <a:cs typeface="微软雅黑" panose="020B0503020204020204" pitchFamily="34" charset="-122"/>
                    <a:sym typeface="微软雅黑" panose="020B0503020204020204" pitchFamily="34" charset="-122"/>
                  </a:defRPr>
                </a:pPr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'F:\[排名曲线图.xlsx]排名曲线图 '!$C$8:$N$8</c:f>
              <c:numCache>
                <c:formatCode>General</c:formatCode>
                <c:ptCount val="12"/>
                <c:pt idx="0">
                  <c:v>2022.1</c:v>
                </c:pt>
                <c:pt idx="1">
                  <c:v>2022.2</c:v>
                </c:pt>
                <c:pt idx="2">
                  <c:v>2022.3</c:v>
                </c:pt>
                <c:pt idx="3">
                  <c:v>2022.4</c:v>
                </c:pt>
                <c:pt idx="4">
                  <c:v>2022.5</c:v>
                </c:pt>
                <c:pt idx="5">
                  <c:v>2022.6</c:v>
                </c:pt>
                <c:pt idx="6">
                  <c:v>2022.7</c:v>
                </c:pt>
                <c:pt idx="7">
                  <c:v>2022.8</c:v>
                </c:pt>
                <c:pt idx="8">
                  <c:v>2022.9</c:v>
                </c:pt>
                <c:pt idx="9">
                  <c:v>2022.1</c:v>
                </c:pt>
                <c:pt idx="10">
                  <c:v>2022.11</c:v>
                </c:pt>
                <c:pt idx="11">
                  <c:v>2022.12</c:v>
                </c:pt>
              </c:numCache>
            </c:numRef>
          </c:cat>
          <c:val>
            <c:numRef>
              <c:f>'F:\[排名曲线图.xlsx]排名曲线图 '!$C$11:$N$11</c:f>
              <c:numCache>
                <c:formatCode>General</c:formatCode>
                <c:ptCount val="12"/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237620224"/>
        <c:axId val="126274368"/>
      </c:lineChart>
      <c:lineChart>
        <c:grouping val="standard"/>
        <c:varyColors val="0"/>
        <c:ser>
          <c:idx val="2"/>
          <c:order val="1"/>
          <c:tx>
            <c:strRef>
              <c:f>'F:\[排名曲线图.xlsx]排名曲线图 '!$B$10</c:f>
              <c:strCache>
                <c:ptCount val="1"/>
                <c:pt idx="0">
                  <c:v>项目排名</c:v>
                </c:pt>
              </c:strCache>
            </c:strRef>
          </c:tx>
          <c:spPr>
            <a:ln w="41275" cap="rnd" cmpd="sng" algn="ctr">
              <a:solidFill>
                <a:srgbClr val="70AD47">
                  <a:lumMod val="40000"/>
                  <a:lumOff val="60000"/>
                </a:srgbClr>
              </a:solidFill>
              <a:prstDash val="solid"/>
              <a:round/>
            </a:ln>
            <a:effectLst/>
          </c:spPr>
          <c:marker>
            <c:symbol val="circle"/>
            <c:size val="6"/>
            <c:spPr>
              <a:solidFill>
                <a:srgbClr val="92D050"/>
              </a:solidFill>
              <a:ln w="12700" cap="flat" cmpd="sng" algn="ctr">
                <a:solidFill>
                  <a:srgbClr val="E7E6E6"/>
                </a:solidFill>
                <a:prstDash val="solid"/>
                <a:round/>
              </a:ln>
              <a:effectLst/>
            </c:spPr>
          </c:marker>
          <c:dLbls>
            <c:dLbl>
              <c:idx val="11"/>
              <c:layout>
                <c:manualLayout>
                  <c:x val="0.00041373004036163"/>
                  <c:y val="0.0119713120813042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700" b="0" i="0" u="none" strike="noStrike" kern="1200" baseline="0">
                    <a:solidFill>
                      <a:srgbClr val="44546A"/>
                    </a:solidFill>
                    <a:latin typeface="微软雅黑" panose="020B0503020204020204" pitchFamily="34" charset="-122"/>
                    <a:ea typeface="微软雅黑" panose="020B0503020204020204" pitchFamily="34" charset="-122"/>
                    <a:cs typeface="微软雅黑" panose="020B0503020204020204" pitchFamily="34" charset="-122"/>
                    <a:sym typeface="微软雅黑" panose="020B0503020204020204" pitchFamily="34" charset="-122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rgbClr val="B7C2D1">
                          <a:lumMod val="35000"/>
                          <a:lumOff val="65000"/>
                        </a:srgb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'F:\[排名曲线图.xlsx]排名曲线图 '!$C$10:$N$10</c:f>
              <c:numCache>
                <c:formatCode>General</c:formatCode>
                <c:ptCount val="12"/>
                <c:pt idx="0">
                  <c:v>13</c:v>
                </c:pt>
                <c:pt idx="3">
                  <c:v>52</c:v>
                </c:pt>
                <c:pt idx="4">
                  <c:v>45</c:v>
                </c:pt>
                <c:pt idx="5">
                  <c:v>24</c:v>
                </c:pt>
                <c:pt idx="6">
                  <c:v>24</c:v>
                </c:pt>
                <c:pt idx="7">
                  <c:v>32</c:v>
                </c:pt>
                <c:pt idx="9">
                  <c:v>13</c:v>
                </c:pt>
                <c:pt idx="10">
                  <c:v>11</c:v>
                </c:pt>
                <c:pt idx="11">
                  <c:v>12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237768704"/>
        <c:axId val="126277248"/>
      </c:lineChart>
      <c:catAx>
        <c:axId val="2376202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rgbClr val="E0E5EB">
                <a:lumMod val="15000"/>
                <a:lumOff val="85000"/>
              </a:srgb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700" b="0" i="0" u="none" strike="noStrike" kern="1200" baseline="0">
                <a:solidFill>
                  <a:srgbClr val="44546A"/>
                </a:solidFill>
                <a:latin typeface="微软雅黑" panose="020B0503020204020204" pitchFamily="34" charset="-122"/>
                <a:ea typeface="微软雅黑" panose="020B0503020204020204" pitchFamily="34" charset="-122"/>
                <a:cs typeface="微软雅黑" panose="020B0503020204020204" pitchFamily="34" charset="-122"/>
                <a:sym typeface="微软雅黑" panose="020B0503020204020204" pitchFamily="34" charset="-122"/>
              </a:defRPr>
            </a:pPr>
          </a:p>
        </c:txPr>
        <c:crossAx val="126274368"/>
        <c:crosses val="autoZero"/>
        <c:auto val="1"/>
        <c:lblAlgn val="ctr"/>
        <c:lblOffset val="100"/>
        <c:noMultiLvlLbl val="0"/>
      </c:catAx>
      <c:valAx>
        <c:axId val="126274368"/>
        <c:scaling>
          <c:orientation val="minMax"/>
          <c:max val="84.5"/>
          <c:min val="72"/>
        </c:scaling>
        <c:delete val="1"/>
        <c:axPos val="l"/>
        <c:majorGridlines>
          <c:spPr>
            <a:ln w="9525" cap="flat" cmpd="sng" algn="ctr">
              <a:solidFill>
                <a:srgbClr val="E7E6E6"/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700" b="0" i="0" u="none" strike="noStrike" kern="1200" baseline="0">
                <a:solidFill>
                  <a:srgbClr val="000000"/>
                </a:solidFill>
                <a:latin typeface="微软雅黑" panose="020B0503020204020204" pitchFamily="34" charset="-122"/>
                <a:ea typeface="微软雅黑" panose="020B0503020204020204" pitchFamily="34" charset="-122"/>
                <a:cs typeface="微软雅黑" panose="020B0503020204020204" pitchFamily="34" charset="-122"/>
                <a:sym typeface="微软雅黑" panose="020B0503020204020204" pitchFamily="34" charset="-122"/>
              </a:defRPr>
            </a:pPr>
          </a:p>
        </c:txPr>
        <c:crossAx val="237620224"/>
        <c:crosses val="autoZero"/>
        <c:crossBetween val="between"/>
        <c:majorUnit val="2"/>
      </c:valAx>
      <c:catAx>
        <c:axId val="237768704"/>
        <c:scaling>
          <c:orientation val="minMax"/>
        </c:scaling>
        <c:delete val="1"/>
        <c:axPos val="t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700" b="0" i="0" u="none" strike="noStrike" kern="1200" baseline="0">
                <a:solidFill>
                  <a:srgbClr val="000000"/>
                </a:solidFill>
                <a:latin typeface="微软雅黑" panose="020B0503020204020204" pitchFamily="34" charset="-122"/>
                <a:ea typeface="微软雅黑" panose="020B0503020204020204" pitchFamily="34" charset="-122"/>
                <a:cs typeface="微软雅黑" panose="020B0503020204020204" pitchFamily="34" charset="-122"/>
                <a:sym typeface="微软雅黑" panose="020B0503020204020204" pitchFamily="34" charset="-122"/>
              </a:defRPr>
            </a:pPr>
          </a:p>
        </c:txPr>
        <c:crossAx val="126277248"/>
        <c:crosses val="autoZero"/>
        <c:auto val="1"/>
        <c:lblAlgn val="ctr"/>
        <c:lblOffset val="100"/>
        <c:noMultiLvlLbl val="0"/>
      </c:catAx>
      <c:valAx>
        <c:axId val="126277248"/>
        <c:scaling>
          <c:orientation val="maxMin"/>
          <c:max val="80"/>
          <c:min val="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700" b="1" i="0" u="none" strike="noStrike" kern="1200" baseline="0">
                    <a:solidFill>
                      <a:srgbClr val="44546A"/>
                    </a:solidFill>
                    <a:latin typeface="微软雅黑" panose="020B0503020204020204" pitchFamily="34" charset="-122"/>
                    <a:ea typeface="微软雅黑" panose="020B0503020204020204" pitchFamily="34" charset="-122"/>
                    <a:cs typeface="微软雅黑" panose="020B0503020204020204" pitchFamily="34" charset="-122"/>
                    <a:sym typeface="微软雅黑" panose="020B0503020204020204" pitchFamily="34" charset="-122"/>
                  </a:defRPr>
                </a:pPr>
                <a:r>
                  <a:rPr lang="zh-CN" altLang="en-US" sz="700">
                    <a:latin typeface="微软雅黑" panose="020B0503020204020204" pitchFamily="34" charset="-122"/>
                    <a:ea typeface="微软雅黑" panose="020B0503020204020204" pitchFamily="34" charset="-122"/>
                    <a:cs typeface="微软雅黑" panose="020B0503020204020204" pitchFamily="34" charset="-122"/>
                    <a:sym typeface="微软雅黑" panose="020B0503020204020204" pitchFamily="34" charset="-122"/>
                  </a:rPr>
                  <a:t>排名</a:t>
                </a:r>
                <a:endParaRPr lang="zh-CN" altLang="en-US" sz="700">
                  <a:latin typeface="微软雅黑" panose="020B0503020204020204" pitchFamily="34" charset="-122"/>
                  <a:ea typeface="微软雅黑" panose="020B0503020204020204" pitchFamily="34" charset="-122"/>
                  <a:cs typeface="微软雅黑" panose="020B0503020204020204" pitchFamily="34" charset="-122"/>
                  <a:sym typeface="微软雅黑" panose="020B0503020204020204" pitchFamily="34" charset="-122"/>
                </a:endParaRPr>
              </a:p>
            </c:rich>
          </c:tx>
          <c:layout>
            <c:manualLayout>
              <c:xMode val="edge"/>
              <c:yMode val="edge"/>
              <c:x val="0.952297847585806"/>
              <c:y val="0.43998670801949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700" b="0" i="0" u="none" strike="noStrike" kern="1200" baseline="0">
                <a:solidFill>
                  <a:srgbClr val="44546A"/>
                </a:solidFill>
                <a:latin typeface="微软雅黑" panose="020B0503020204020204" pitchFamily="34" charset="-122"/>
                <a:ea typeface="微软雅黑" panose="020B0503020204020204" pitchFamily="34" charset="-122"/>
                <a:cs typeface="微软雅黑" panose="020B0503020204020204" pitchFamily="34" charset="-122"/>
                <a:sym typeface="微软雅黑" panose="020B0503020204020204" pitchFamily="34" charset="-122"/>
              </a:defRPr>
            </a:pPr>
          </a:p>
        </c:txPr>
        <c:crossAx val="237768704"/>
        <c:crosses val="max"/>
        <c:crossBetween val="between"/>
        <c:majorUnit val="10"/>
      </c:valAx>
      <c:spPr>
        <a:noFill/>
        <a:ln>
          <a:noFill/>
        </a:ln>
        <a:effectLst/>
      </c:spPr>
    </c:plotArea>
    <c:legend>
      <c:legendPos val="t"/>
      <c:legendEntry>
        <c:idx val="0"/>
        <c:delete val="1"/>
      </c:legendEntry>
      <c:legendEntry>
        <c:idx val="1"/>
        <c:delete val="1"/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lang="zh-CN" sz="700" b="0" i="0" u="none" strike="noStrike" kern="1200" baseline="0">
                <a:solidFill>
                  <a:srgbClr val="44546A"/>
                </a:solidFill>
                <a:latin typeface="微软雅黑" panose="020B0503020204020204" pitchFamily="34" charset="-122"/>
                <a:ea typeface="微软雅黑" panose="020B0503020204020204" pitchFamily="34" charset="-122"/>
                <a:cs typeface="微软雅黑" panose="020B0503020204020204" pitchFamily="34" charset="-122"/>
                <a:sym typeface="微软雅黑" panose="020B0503020204020204" pitchFamily="34" charset="-122"/>
              </a:defRPr>
            </a:pPr>
          </a:p>
        </c:txPr>
      </c:legendEntry>
      <c:layout>
        <c:manualLayout>
          <c:xMode val="edge"/>
          <c:yMode val="edge"/>
          <c:x val="0.456984276080979"/>
          <c:y val="0.027002824553712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700" b="0" i="0" u="none" strike="noStrike" kern="1200" baseline="0">
              <a:solidFill>
                <a:srgbClr val="44546A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微软雅黑" panose="020B0503020204020204" pitchFamily="34" charset="-122"/>
              <a:sym typeface="微软雅黑" panose="020B0503020204020204" pitchFamily="34" charset="-122"/>
            </a:defRPr>
          </a:pPr>
        </a:p>
      </c:txPr>
    </c:legend>
    <c:plotVisOnly val="1"/>
    <c:dispBlanksAs val="span"/>
    <c:showDLblsOverMax val="0"/>
  </c:chart>
  <c:spPr>
    <a:solidFill>
      <a:srgbClr val="FFFFFF"/>
    </a:solidFill>
    <a:ln w="9525" cap="flat" cmpd="sng" algn="ctr">
      <a:solidFill>
        <a:srgbClr val="E0E5EB">
          <a:lumMod val="15000"/>
          <a:lumOff val="85000"/>
        </a:srgbClr>
      </a:solidFill>
      <a:prstDash val="solid"/>
      <a:round/>
    </a:ln>
    <a:effectLst/>
  </c:spPr>
  <c:txPr>
    <a:bodyPr/>
    <a:lstStyle/>
    <a:p>
      <a:pPr>
        <a:defRPr lang="zh-CN" sz="700">
          <a:latin typeface="微软雅黑" panose="020B0503020204020204" pitchFamily="34" charset="-122"/>
          <a:ea typeface="微软雅黑" panose="020B0503020204020204" pitchFamily="34" charset="-122"/>
          <a:cs typeface="微软雅黑" panose="020B0503020204020204" pitchFamily="34" charset="-122"/>
          <a:sym typeface="微软雅黑" panose="020B0503020204020204" pitchFamily="34" charset="-122"/>
        </a:defRPr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rgbClr val="FFFFFF"/>
      </a:solidFill>
      <a:gradFill rotWithShape="1">
        <a:gsLst>
          <a:gs pos="0">
            <a:srgbClr val="FFFFFF">
              <a:lumMod val="110000"/>
              <a:satMod val="105000"/>
              <a:tint val="67000"/>
            </a:srgbClr>
          </a:gs>
          <a:gs pos="50000">
            <a:srgbClr val="FFFFFF">
              <a:lumMod val="105000"/>
              <a:satMod val="103000"/>
              <a:tint val="73000"/>
            </a:srgbClr>
          </a:gs>
          <a:gs pos="100000">
            <a:srgbClr val="FFFFFF">
              <a:lumMod val="105000"/>
              <a:satMod val="109000"/>
              <a:tint val="81000"/>
            </a:srgbClr>
          </a:gs>
        </a:gsLst>
        <a:lin ang="5400000" scaled="0"/>
      </a:gradFill>
      <a:gradFill rotWithShape="1">
        <a:gsLst>
          <a:gs pos="0">
            <a:srgbClr val="FFFFFF">
              <a:satMod val="103000"/>
              <a:lumMod val="102000"/>
              <a:tint val="94000"/>
            </a:srgbClr>
          </a:gs>
          <a:gs pos="50000">
            <a:srgbClr val="FFFFFF">
              <a:satMod val="110000"/>
              <a:lumMod val="100000"/>
              <a:shade val="100000"/>
            </a:srgbClr>
          </a:gs>
          <a:gs pos="100000">
            <a:srgbClr val="E2E2E2">
              <a:lumMod val="99000"/>
              <a:satMod val="120000"/>
              <a:shade val="78000"/>
            </a:srgbClr>
          </a:gs>
        </a:gsLst>
        <a:lin ang="5400000" scaled="0"/>
      </a:gradFill>
    </a:fillStyleLst>
    <a:lnStyleLst>
      <a:ln w="6350" cap="flat" cmpd="sng" algn="ctr">
        <a:solidFill>
          <a:srgbClr val="FFFFFF"/>
        </a:solidFill>
        <a:prstDash val="solid"/>
        <a:miter lim="800000"/>
      </a:ln>
      <a:ln w="12700" cap="flat" cmpd="sng" algn="ctr">
        <a:solidFill>
          <a:srgbClr val="FFFFFF"/>
        </a:solidFill>
        <a:prstDash val="solid"/>
        <a:miter lim="800000"/>
      </a:ln>
      <a:ln w="19050" cap="flat" cmpd="sng" algn="ctr">
        <a:solidFill>
          <a:srgbClr val="FFFFFF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rgbClr val="FFFFFF"/>
      </a:solidFill>
      <a:solidFill>
        <a:srgbClr val="FFFFFF">
          <a:tint val="95000"/>
          <a:satMod val="170000"/>
        </a:srgbClr>
      </a:solidFill>
      <a:gradFill rotWithShape="1">
        <a:gsLst>
          <a:gs pos="0">
            <a:srgbClr val="FFFFFF">
              <a:tint val="93000"/>
              <a:satMod val="150000"/>
              <a:shade val="98000"/>
              <a:lumMod val="102000"/>
            </a:srgbClr>
          </a:gs>
          <a:gs pos="50000">
            <a:srgbClr val="FBFBFB">
              <a:tint val="98000"/>
              <a:satMod val="130000"/>
              <a:shade val="90000"/>
              <a:lumMod val="103000"/>
            </a:srgbClr>
          </a:gs>
          <a:gs pos="100000">
            <a:srgbClr val="D0D0D0">
              <a:shade val="63000"/>
              <a:satMod val="120000"/>
            </a:srgb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2023-02-07T08:51:00Z</dcterms:created>
  <dc:creator>Jayden Li</dc:creator>
  <cp:lastModifiedBy>Jayden Li</cp:lastModifiedBy>
  <dcterms:modified xsi:type="dcterms:W3CDTF">2023-02-07T08:52:28Z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84DC9D5B64C047769A661AED26EE573B</vt:lpwstr>
  </property>
</Properties>
</file>