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napToGrid w:val="0"/>
        <w:spacing w:before="625" w:beforeLines="200" w:beforeAutospacing="0" w:after="313" w:afterLines="100" w:afterAutospacing="0"/>
        <w:ind w:firstLine="0"/>
        <w:jc w:val="center"/>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lang w:val="en-US" w:eastAsia="zh-CN"/>
        </w:rPr>
        <w:t>2024年度引进国内外高端知识产权服务机构资助</w:t>
      </w:r>
      <w:r>
        <w:rPr>
          <w:rFonts w:hint="eastAsia" w:ascii="方正小标宋简体" w:hAnsi="方正小标宋简体" w:eastAsia="方正小标宋简体" w:cs="方正小标宋简体"/>
          <w:b w:val="0"/>
          <w:bCs w:val="0"/>
          <w:sz w:val="44"/>
          <w:szCs w:val="44"/>
        </w:rPr>
        <w:t>申报指南</w:t>
      </w:r>
    </w:p>
    <w:p>
      <w:pPr>
        <w:pStyle w:val="17"/>
        <w:numPr>
          <w:ilvl w:val="0"/>
          <w:numId w:val="1"/>
        </w:numPr>
        <w:snapToGrid w:val="0"/>
        <w:spacing w:line="560" w:lineRule="exact"/>
        <w:ind w:left="1361" w:firstLineChars="0"/>
        <w:rPr>
          <w:rFonts w:hint="eastAsia" w:ascii="黑体" w:hAnsi="黑体" w:eastAsia="黑体" w:cs="黑体"/>
          <w:b w:val="0"/>
          <w:bCs w:val="0"/>
          <w:sz w:val="32"/>
          <w:szCs w:val="32"/>
        </w:rPr>
      </w:pPr>
      <w:r>
        <w:rPr>
          <w:rFonts w:hint="eastAsia" w:ascii="黑体" w:hAnsi="黑体" w:eastAsia="黑体" w:cs="黑体"/>
          <w:b w:val="0"/>
          <w:bCs w:val="0"/>
          <w:sz w:val="32"/>
          <w:szCs w:val="32"/>
        </w:rPr>
        <w:t>申报内容</w:t>
      </w:r>
    </w:p>
    <w:p>
      <w:pPr>
        <w:snapToGrid w:val="0"/>
        <w:spacing w:line="560" w:lineRule="exact"/>
        <w:ind w:firstLine="640" w:firstLineChars="200"/>
        <w:jc w:val="left"/>
        <w:rPr>
          <w:rFonts w:hint="eastAsia" w:ascii="仿宋_GB2312" w:hAnsi="Calibri" w:eastAsia="仿宋_GB2312" w:cs="Times New Roman"/>
          <w:sz w:val="32"/>
          <w:szCs w:val="32"/>
          <w:lang w:val="en-US" w:eastAsia="zh-CN"/>
        </w:rPr>
      </w:pPr>
      <w:r>
        <w:rPr>
          <w:rFonts w:hint="eastAsia" w:ascii="仿宋_GB2312" w:hAnsi="Calibri" w:eastAsia="仿宋_GB2312" w:cs="Times New Roman"/>
          <w:sz w:val="32"/>
          <w:szCs w:val="32"/>
          <w:lang w:val="en-US" w:eastAsia="zh-CN"/>
        </w:rPr>
        <w:t>2024年度引进国内外高端知识产权服务机构资助</w:t>
      </w:r>
      <w:bookmarkStart w:id="0" w:name="_GoBack"/>
      <w:bookmarkEnd w:id="0"/>
      <w:r>
        <w:rPr>
          <w:rFonts w:hint="eastAsia" w:ascii="仿宋_GB2312" w:hAnsi="Calibri" w:eastAsia="仿宋_GB2312" w:cs="Times New Roman"/>
          <w:sz w:val="32"/>
          <w:szCs w:val="32"/>
          <w:lang w:val="en-US" w:eastAsia="zh-CN"/>
        </w:rPr>
        <w:t>。</w:t>
      </w:r>
    </w:p>
    <w:p>
      <w:pPr>
        <w:pStyle w:val="17"/>
        <w:numPr>
          <w:ilvl w:val="0"/>
          <w:numId w:val="1"/>
        </w:numPr>
        <w:snapToGrid w:val="0"/>
        <w:spacing w:line="560" w:lineRule="exact"/>
        <w:ind w:left="1361" w:firstLineChars="0"/>
        <w:rPr>
          <w:rFonts w:ascii="黑体" w:hAnsi="黑体" w:eastAsia="黑体"/>
          <w:sz w:val="32"/>
          <w:szCs w:val="32"/>
          <w:highlight w:val="none"/>
        </w:rPr>
      </w:pPr>
      <w:r>
        <w:rPr>
          <w:rFonts w:hint="eastAsia" w:ascii="黑体" w:hAnsi="黑体" w:eastAsia="黑体"/>
          <w:sz w:val="32"/>
          <w:szCs w:val="32"/>
          <w:highlight w:val="none"/>
        </w:rPr>
        <w:t>设定依据</w:t>
      </w:r>
    </w:p>
    <w:p>
      <w:pPr>
        <w:numPr>
          <w:ilvl w:val="0"/>
          <w:numId w:val="0"/>
        </w:numPr>
        <w:snapToGrid w:val="0"/>
        <w:spacing w:line="560" w:lineRule="exact"/>
        <w:ind w:firstLine="640" w:firstLineChars="200"/>
        <w:jc w:val="left"/>
        <w:rPr>
          <w:rFonts w:hint="default" w:ascii="仿宋_GB2312" w:eastAsia="仿宋_GB2312"/>
          <w:sz w:val="32"/>
          <w:szCs w:val="32"/>
          <w:highlight w:val="none"/>
        </w:rPr>
      </w:pPr>
      <w:r>
        <w:rPr>
          <w:rFonts w:hint="eastAsia" w:ascii="仿宋_GB2312" w:eastAsia="仿宋_GB2312"/>
          <w:sz w:val="32"/>
          <w:szCs w:val="32"/>
          <w:highlight w:val="none"/>
        </w:rPr>
        <w:t>（一）《深圳市市场监督管理局专项资金管理办法》</w:t>
      </w:r>
      <w:r>
        <w:rPr>
          <w:rFonts w:hint="default" w:ascii="仿宋_GB2312" w:eastAsia="仿宋_GB2312"/>
          <w:sz w:val="32"/>
          <w:szCs w:val="32"/>
          <w:highlight w:val="none"/>
        </w:rPr>
        <w:t>(</w:t>
      </w:r>
      <w:r>
        <w:rPr>
          <w:rFonts w:hint="eastAsia" w:ascii="仿宋_GB2312" w:eastAsia="仿宋_GB2312"/>
          <w:sz w:val="32"/>
          <w:szCs w:val="32"/>
          <w:highlight w:val="none"/>
        </w:rPr>
        <w:t>深市监规〔2020〕3号</w:t>
      </w:r>
      <w:r>
        <w:rPr>
          <w:rFonts w:hint="default" w:ascii="仿宋_GB2312" w:eastAsia="仿宋_GB2312"/>
          <w:sz w:val="32"/>
          <w:szCs w:val="32"/>
          <w:highlight w:val="none"/>
        </w:rPr>
        <w:t>)</w:t>
      </w:r>
      <w:r>
        <w:rPr>
          <w:rFonts w:hint="eastAsia" w:ascii="仿宋_GB2312" w:eastAsia="仿宋_GB2312"/>
          <w:sz w:val="32"/>
          <w:szCs w:val="32"/>
          <w:highlight w:val="none"/>
        </w:rPr>
        <w:t>；</w:t>
      </w:r>
    </w:p>
    <w:p>
      <w:pPr>
        <w:tabs>
          <w:tab w:val="left" w:pos="5250"/>
        </w:tabs>
        <w:snapToGrid w:val="0"/>
        <w:spacing w:line="560" w:lineRule="exact"/>
        <w:ind w:firstLine="640" w:firstLineChars="200"/>
        <w:rPr>
          <w:rFonts w:hint="eastAsia" w:ascii="仿宋_GB2312" w:eastAsia="仿宋_GB2312"/>
          <w:sz w:val="32"/>
          <w:szCs w:val="32"/>
          <w:highlight w:val="none"/>
        </w:rPr>
      </w:pPr>
      <w:r>
        <w:rPr>
          <w:rFonts w:hint="eastAsia" w:ascii="仿宋_GB2312" w:eastAsia="仿宋_GB2312"/>
          <w:sz w:val="32"/>
          <w:szCs w:val="32"/>
          <w:highlight w:val="none"/>
        </w:rPr>
        <w:t>（二）《深圳市市场监督管理局知识产权领域专项资金操作规程》</w:t>
      </w:r>
      <w:r>
        <w:rPr>
          <w:rFonts w:hint="default" w:ascii="仿宋_GB2312" w:eastAsia="仿宋_GB2312"/>
          <w:sz w:val="32"/>
          <w:szCs w:val="32"/>
          <w:highlight w:val="none"/>
        </w:rPr>
        <w:t>(</w:t>
      </w:r>
      <w:r>
        <w:rPr>
          <w:rFonts w:hint="eastAsia" w:ascii="仿宋_GB2312" w:eastAsia="仿宋_GB2312"/>
          <w:sz w:val="32"/>
          <w:szCs w:val="32"/>
          <w:highlight w:val="none"/>
        </w:rPr>
        <w:t>深市监规〔202</w:t>
      </w:r>
      <w:r>
        <w:rPr>
          <w:rFonts w:hint="eastAsia" w:ascii="仿宋_GB2312" w:eastAsia="仿宋_GB2312"/>
          <w:sz w:val="32"/>
          <w:szCs w:val="32"/>
          <w:highlight w:val="none"/>
          <w:lang w:val="en-US" w:eastAsia="zh-CN"/>
        </w:rPr>
        <w:t>4</w:t>
      </w:r>
      <w:r>
        <w:rPr>
          <w:rFonts w:hint="eastAsia" w:ascii="仿宋_GB2312" w:eastAsia="仿宋_GB2312"/>
          <w:sz w:val="32"/>
          <w:szCs w:val="32"/>
          <w:highlight w:val="none"/>
        </w:rPr>
        <w:t>〕</w:t>
      </w:r>
      <w:r>
        <w:rPr>
          <w:rFonts w:hint="eastAsia" w:ascii="仿宋_GB2312" w:eastAsia="仿宋_GB2312"/>
          <w:sz w:val="32"/>
          <w:szCs w:val="32"/>
          <w:highlight w:val="none"/>
          <w:lang w:val="en-US" w:eastAsia="zh-CN"/>
        </w:rPr>
        <w:t>5</w:t>
      </w:r>
      <w:r>
        <w:rPr>
          <w:rFonts w:hint="eastAsia" w:ascii="仿宋_GB2312" w:eastAsia="仿宋_GB2312"/>
          <w:sz w:val="32"/>
          <w:szCs w:val="32"/>
          <w:highlight w:val="none"/>
        </w:rPr>
        <w:t>号</w:t>
      </w:r>
      <w:r>
        <w:rPr>
          <w:rFonts w:hint="default" w:ascii="仿宋_GB2312" w:eastAsia="仿宋_GB2312"/>
          <w:sz w:val="32"/>
          <w:szCs w:val="32"/>
          <w:highlight w:val="none"/>
        </w:rPr>
        <w:t>)</w:t>
      </w:r>
      <w:r>
        <w:rPr>
          <w:rFonts w:hint="eastAsia" w:ascii="仿宋_GB2312" w:eastAsia="仿宋_GB2312"/>
          <w:sz w:val="32"/>
          <w:szCs w:val="32"/>
          <w:highlight w:val="none"/>
        </w:rPr>
        <w:t>。</w:t>
      </w:r>
    </w:p>
    <w:p>
      <w:pPr>
        <w:pStyle w:val="17"/>
        <w:numPr>
          <w:ilvl w:val="0"/>
          <w:numId w:val="1"/>
        </w:numPr>
        <w:snapToGrid w:val="0"/>
        <w:spacing w:line="560" w:lineRule="exact"/>
        <w:ind w:left="1361" w:firstLineChars="0"/>
        <w:rPr>
          <w:rFonts w:hint="eastAsia" w:ascii="黑体" w:hAnsi="黑体" w:eastAsia="黑体" w:cs="黑体"/>
          <w:b w:val="0"/>
          <w:bCs w:val="0"/>
          <w:sz w:val="32"/>
          <w:szCs w:val="32"/>
        </w:rPr>
      </w:pPr>
      <w:r>
        <w:rPr>
          <w:rFonts w:hint="eastAsia" w:ascii="黑体" w:hAnsi="黑体" w:eastAsia="黑体" w:cs="黑体"/>
          <w:b w:val="0"/>
          <w:bCs w:val="0"/>
          <w:sz w:val="32"/>
          <w:szCs w:val="32"/>
        </w:rPr>
        <w:t>资助</w:t>
      </w:r>
      <w:r>
        <w:rPr>
          <w:rFonts w:hint="eastAsia" w:ascii="黑体" w:hAnsi="黑体" w:eastAsia="黑体" w:cs="黑体"/>
          <w:b w:val="0"/>
          <w:bCs w:val="0"/>
          <w:sz w:val="32"/>
          <w:szCs w:val="32"/>
          <w:lang w:eastAsia="zh-CN"/>
        </w:rPr>
        <w:t>标准</w:t>
      </w:r>
      <w:r>
        <w:rPr>
          <w:rFonts w:hint="eastAsia" w:ascii="黑体" w:hAnsi="黑体" w:eastAsia="黑体" w:cs="黑体"/>
          <w:b w:val="0"/>
          <w:bCs w:val="0"/>
          <w:sz w:val="32"/>
          <w:szCs w:val="32"/>
        </w:rPr>
        <w:t xml:space="preserve"> </w:t>
      </w:r>
    </w:p>
    <w:p>
      <w:pPr>
        <w:snapToGrid w:val="0"/>
        <w:spacing w:line="560" w:lineRule="exact"/>
        <w:ind w:firstLine="640" w:firstLineChars="200"/>
        <w:jc w:val="left"/>
        <w:rPr>
          <w:rFonts w:hint="eastAsia" w:ascii="仿宋_GB2312" w:hAnsi="Calibri" w:eastAsia="仿宋_GB2312" w:cs="Times New Roman"/>
          <w:sz w:val="32"/>
          <w:szCs w:val="32"/>
          <w:lang w:val="en-US" w:eastAsia="zh-CN"/>
        </w:rPr>
      </w:pPr>
      <w:r>
        <w:rPr>
          <w:rFonts w:hint="eastAsia" w:ascii="仿宋_GB2312" w:hAnsi="Calibri" w:eastAsia="仿宋_GB2312" w:cs="Times New Roman"/>
          <w:b w:val="0"/>
          <w:bCs w:val="0"/>
          <w:kern w:val="2"/>
          <w:sz w:val="32"/>
          <w:szCs w:val="32"/>
          <w:lang w:val="en-US" w:eastAsia="zh-CN" w:bidi="ar-SA"/>
        </w:rPr>
        <w:t>每年资助引进的国外高端知识产权服务机构不超过2家，每家资助50万元；每年资助引进的国内高端知识产权服务机构不超过3家，每家资助20万元。</w:t>
      </w:r>
    </w:p>
    <w:p>
      <w:pPr>
        <w:pStyle w:val="17"/>
        <w:numPr>
          <w:ilvl w:val="0"/>
          <w:numId w:val="1"/>
        </w:numPr>
        <w:snapToGrid w:val="0"/>
        <w:spacing w:line="560" w:lineRule="exact"/>
        <w:ind w:left="1361" w:firstLineChars="0"/>
        <w:rPr>
          <w:rFonts w:hint="eastAsia" w:ascii="黑体" w:hAnsi="黑体" w:eastAsia="黑体" w:cs="黑体"/>
          <w:b w:val="0"/>
          <w:bCs w:val="0"/>
          <w:sz w:val="32"/>
          <w:szCs w:val="32"/>
        </w:rPr>
      </w:pPr>
      <w:r>
        <w:rPr>
          <w:rFonts w:hint="eastAsia" w:ascii="黑体" w:hAnsi="黑体" w:eastAsia="黑体" w:cs="黑体"/>
          <w:b w:val="0"/>
          <w:bCs w:val="0"/>
          <w:sz w:val="32"/>
          <w:szCs w:val="32"/>
        </w:rPr>
        <w:t>申请条件</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仿宋_GB2312" w:hAnsi="Calibri" w:eastAsia="仿宋_GB2312" w:cs="Times New Roman"/>
          <w:b w:val="0"/>
          <w:bCs w:val="0"/>
          <w:sz w:val="32"/>
          <w:szCs w:val="32"/>
        </w:rPr>
      </w:pPr>
      <w:r>
        <w:rPr>
          <w:rFonts w:hint="eastAsia" w:ascii="仿宋_GB2312" w:hAnsi="Calibri" w:eastAsia="仿宋_GB2312" w:cs="Times New Roman"/>
          <w:b w:val="0"/>
          <w:bCs w:val="0"/>
          <w:sz w:val="32"/>
          <w:szCs w:val="32"/>
        </w:rPr>
        <w:t>引进国外机构的，本项目应由国外机构在深圳</w:t>
      </w:r>
      <w:r>
        <w:rPr>
          <w:rFonts w:hint="eastAsia" w:ascii="仿宋_GB2312" w:hAnsi="Calibri" w:eastAsia="仿宋_GB2312" w:cs="Times New Roman"/>
          <w:b w:val="0"/>
          <w:bCs w:val="0"/>
          <w:sz w:val="32"/>
          <w:szCs w:val="32"/>
          <w:lang w:eastAsia="zh-CN"/>
        </w:rPr>
        <w:t>从事经营活动</w:t>
      </w:r>
      <w:r>
        <w:rPr>
          <w:rFonts w:hint="eastAsia" w:ascii="仿宋_GB2312" w:hAnsi="Calibri" w:eastAsia="仿宋_GB2312" w:cs="Times New Roman"/>
          <w:b w:val="0"/>
          <w:bCs w:val="0"/>
          <w:sz w:val="32"/>
          <w:szCs w:val="32"/>
        </w:rPr>
        <w:t>的经营实体或分公司或子公司提出申请，申请人应当同时满足下列条件：</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仿宋_GB2312" w:hAnsi="Calibri" w:eastAsia="仿宋_GB2312" w:cs="Times New Roman"/>
          <w:b w:val="0"/>
          <w:bCs w:val="0"/>
          <w:sz w:val="32"/>
          <w:szCs w:val="32"/>
        </w:rPr>
      </w:pPr>
      <w:r>
        <w:rPr>
          <w:rFonts w:hint="eastAsia" w:ascii="仿宋_GB2312" w:hAnsi="Calibri" w:eastAsia="仿宋_GB2312" w:cs="Times New Roman"/>
          <w:b w:val="0"/>
          <w:bCs w:val="0"/>
          <w:sz w:val="32"/>
          <w:szCs w:val="32"/>
        </w:rPr>
        <w:t>（一）被引进的国外机构属于在国外依法登记注册的知识产权服务机构，且机构成立5年以上；</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仿宋_GB2312" w:hAnsi="Calibri" w:eastAsia="仿宋_GB2312" w:cs="Times New Roman"/>
          <w:b w:val="0"/>
          <w:bCs w:val="0"/>
          <w:sz w:val="32"/>
          <w:szCs w:val="32"/>
        </w:rPr>
      </w:pPr>
      <w:r>
        <w:rPr>
          <w:rFonts w:hint="eastAsia" w:ascii="仿宋_GB2312" w:hAnsi="Calibri" w:eastAsia="仿宋_GB2312" w:cs="Times New Roman"/>
          <w:b w:val="0"/>
          <w:bCs w:val="0"/>
          <w:sz w:val="32"/>
          <w:szCs w:val="32"/>
        </w:rPr>
        <w:t>（二）被引进机构为国外专利代理机构的，应当向国家知识产权局提出申请并取得外国专利代理机构在华设立常驻代表机构许可；</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仿宋_GB2312" w:hAnsi="Calibri" w:eastAsia="仿宋_GB2312" w:cs="Times New Roman"/>
          <w:b w:val="0"/>
          <w:bCs w:val="0"/>
          <w:sz w:val="32"/>
          <w:szCs w:val="32"/>
        </w:rPr>
      </w:pPr>
      <w:r>
        <w:rPr>
          <w:rFonts w:hint="eastAsia" w:ascii="仿宋_GB2312" w:hAnsi="Calibri" w:eastAsia="仿宋_GB2312" w:cs="Times New Roman"/>
          <w:b w:val="0"/>
          <w:bCs w:val="0"/>
          <w:sz w:val="32"/>
          <w:szCs w:val="32"/>
        </w:rPr>
        <w:t>（三）被引进的国外机构拥有知识产权专业工作人员50人以上；</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仿宋_GB2312" w:hAnsi="Calibri" w:eastAsia="仿宋_GB2312" w:cs="Times New Roman"/>
          <w:b w:val="0"/>
          <w:bCs w:val="0"/>
          <w:sz w:val="32"/>
          <w:szCs w:val="32"/>
        </w:rPr>
      </w:pPr>
      <w:r>
        <w:rPr>
          <w:rFonts w:hint="eastAsia" w:ascii="仿宋_GB2312" w:hAnsi="Calibri" w:eastAsia="仿宋_GB2312" w:cs="Times New Roman"/>
          <w:b w:val="0"/>
          <w:bCs w:val="0"/>
          <w:sz w:val="32"/>
          <w:szCs w:val="32"/>
        </w:rPr>
        <w:t>（四）被引进的国外机构上年度具有知识产权运营、专利无效、专利复审等业务成功案例10项以上；或者上年度代理知识产权诉讼案件结案数量达20件以上；或者已为至少2家世界500强企业提供知识产权业务服务；</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仿宋_GB2312" w:hAnsi="Calibri" w:eastAsia="仿宋_GB2312" w:cs="Times New Roman"/>
          <w:b w:val="0"/>
          <w:bCs w:val="0"/>
          <w:sz w:val="32"/>
          <w:szCs w:val="32"/>
        </w:rPr>
      </w:pPr>
      <w:r>
        <w:rPr>
          <w:rFonts w:hint="eastAsia" w:ascii="仿宋_GB2312" w:hAnsi="Calibri" w:eastAsia="仿宋_GB2312" w:cs="Times New Roman"/>
          <w:b w:val="0"/>
          <w:bCs w:val="0"/>
          <w:sz w:val="32"/>
          <w:szCs w:val="32"/>
        </w:rPr>
        <w:t>（五）在深圳设立稳定的工作场所并拥有稳定的工作团队，设立时间达6个月以上；</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仿宋_GB2312" w:hAnsi="Calibri" w:eastAsia="仿宋_GB2312" w:cs="Times New Roman"/>
          <w:b w:val="0"/>
          <w:bCs w:val="0"/>
          <w:sz w:val="32"/>
          <w:szCs w:val="32"/>
        </w:rPr>
      </w:pPr>
      <w:r>
        <w:rPr>
          <w:rFonts w:hint="eastAsia" w:ascii="仿宋_GB2312" w:hAnsi="Calibri" w:eastAsia="仿宋_GB2312" w:cs="Times New Roman"/>
          <w:b w:val="0"/>
          <w:bCs w:val="0"/>
          <w:sz w:val="32"/>
          <w:szCs w:val="32"/>
        </w:rPr>
        <w:t>（六）在深圳常驻的知识产权专业工作人员不少于</w:t>
      </w:r>
      <w:r>
        <w:rPr>
          <w:rFonts w:ascii="仿宋_GB2312" w:hAnsi="Calibri" w:eastAsia="仿宋_GB2312" w:cs="Times New Roman"/>
          <w:b w:val="0"/>
          <w:bCs w:val="0"/>
          <w:sz w:val="32"/>
          <w:szCs w:val="32"/>
        </w:rPr>
        <w:t>5</w:t>
      </w:r>
      <w:r>
        <w:rPr>
          <w:rFonts w:hint="eastAsia" w:ascii="仿宋_GB2312" w:hAnsi="Calibri" w:eastAsia="仿宋_GB2312" w:cs="Times New Roman"/>
          <w:b w:val="0"/>
          <w:bCs w:val="0"/>
          <w:sz w:val="32"/>
          <w:szCs w:val="32"/>
        </w:rPr>
        <w:t>人；</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仿宋_GB2312" w:hAnsi="Calibri" w:eastAsia="仿宋_GB2312" w:cs="Times New Roman"/>
          <w:b w:val="0"/>
          <w:bCs w:val="0"/>
          <w:sz w:val="32"/>
          <w:szCs w:val="32"/>
        </w:rPr>
      </w:pPr>
      <w:r>
        <w:rPr>
          <w:rFonts w:hint="eastAsia" w:ascii="仿宋_GB2312" w:hAnsi="Calibri" w:eastAsia="仿宋_GB2312" w:cs="Times New Roman"/>
          <w:b w:val="0"/>
          <w:bCs w:val="0"/>
          <w:sz w:val="32"/>
          <w:szCs w:val="32"/>
        </w:rPr>
        <w:t>（七）为深圳企业提供知识产权服务，上年度常驻深圳的工作团队经营状况良好，具备较强的知识产权服务出口能力。</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仿宋_GB2312" w:hAnsi="Calibri" w:eastAsia="仿宋_GB2312" w:cs="Times New Roman"/>
          <w:b w:val="0"/>
          <w:bCs w:val="0"/>
          <w:sz w:val="32"/>
          <w:szCs w:val="32"/>
        </w:rPr>
      </w:pPr>
      <w:r>
        <w:rPr>
          <w:rFonts w:hint="eastAsia" w:ascii="仿宋_GB2312" w:hAnsi="Calibri" w:eastAsia="仿宋_GB2312" w:cs="Times New Roman"/>
          <w:b w:val="0"/>
          <w:bCs w:val="0"/>
          <w:sz w:val="32"/>
          <w:szCs w:val="32"/>
        </w:rPr>
        <w:t>引进国内机构的，本项目应由国内机构在深圳</w:t>
      </w:r>
      <w:r>
        <w:rPr>
          <w:rFonts w:hint="eastAsia" w:ascii="仿宋_GB2312" w:hAnsi="Calibri" w:eastAsia="仿宋_GB2312" w:cs="Times New Roman"/>
          <w:b w:val="0"/>
          <w:bCs w:val="0"/>
          <w:sz w:val="32"/>
          <w:szCs w:val="32"/>
          <w:lang w:eastAsia="zh-CN"/>
        </w:rPr>
        <w:t>从事经营活动</w:t>
      </w:r>
      <w:r>
        <w:rPr>
          <w:rFonts w:hint="eastAsia" w:ascii="仿宋_GB2312" w:hAnsi="Calibri" w:eastAsia="仿宋_GB2312" w:cs="Times New Roman"/>
          <w:b w:val="0"/>
          <w:bCs w:val="0"/>
          <w:sz w:val="32"/>
          <w:szCs w:val="32"/>
        </w:rPr>
        <w:t>的经营实体或分公司或子公司提出申请，申请人应当同时满足下列条件：</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Calibri" w:eastAsia="仿宋_GB2312" w:cs="Times New Roman"/>
          <w:b w:val="0"/>
          <w:bCs w:val="0"/>
          <w:sz w:val="32"/>
          <w:szCs w:val="32"/>
        </w:rPr>
      </w:pPr>
      <w:r>
        <w:rPr>
          <w:rFonts w:hint="eastAsia" w:ascii="仿宋_GB2312" w:hAnsi="Calibri" w:eastAsia="仿宋_GB2312" w:cs="Times New Roman"/>
          <w:b w:val="0"/>
          <w:bCs w:val="0"/>
          <w:sz w:val="32"/>
          <w:szCs w:val="32"/>
        </w:rPr>
        <w:t>（一）被引进的国内机构属于在深圳市行政区域外依法登记注册的国内知识产权服务机构，注册时间5年以上；</w:t>
      </w:r>
    </w:p>
    <w:p>
      <w:pPr>
        <w:keepNext w:val="0"/>
        <w:keepLines w:val="0"/>
        <w:pageBreakBefore w:val="0"/>
        <w:numPr>
          <w:ilvl w:val="0"/>
          <w:numId w:val="0"/>
        </w:numPr>
        <w:kinsoku/>
        <w:wordWrap/>
        <w:overflowPunct/>
        <w:topLinePunct w:val="0"/>
        <w:autoSpaceDE/>
        <w:autoSpaceDN/>
        <w:bidi w:val="0"/>
        <w:adjustRightInd w:val="0"/>
        <w:snapToGrid w:val="0"/>
        <w:spacing w:line="560" w:lineRule="exact"/>
        <w:textAlignment w:val="auto"/>
        <w:rPr>
          <w:rFonts w:hint="eastAsia" w:ascii="仿宋_GB2312" w:hAnsi="Calibri" w:eastAsia="仿宋_GB2312" w:cs="Times New Roman"/>
          <w:b w:val="0"/>
          <w:bCs w:val="0"/>
          <w:sz w:val="32"/>
          <w:szCs w:val="32"/>
        </w:rPr>
      </w:pPr>
      <w:r>
        <w:rPr>
          <w:rFonts w:hint="eastAsia" w:ascii="仿宋_GB2312" w:hAnsi="Calibri" w:eastAsia="仿宋_GB2312" w:cs="Times New Roman"/>
          <w:b w:val="0"/>
          <w:bCs w:val="0"/>
          <w:sz w:val="32"/>
          <w:szCs w:val="32"/>
        </w:rPr>
        <w:t>　　（二）被引进的国内机构拥有专利代理师或律师20人以上；</w:t>
      </w:r>
    </w:p>
    <w:p>
      <w:pPr>
        <w:keepNext w:val="0"/>
        <w:keepLines w:val="0"/>
        <w:pageBreakBefore w:val="0"/>
        <w:numPr>
          <w:ilvl w:val="0"/>
          <w:numId w:val="0"/>
        </w:numPr>
        <w:kinsoku/>
        <w:wordWrap/>
        <w:overflowPunct/>
        <w:topLinePunct w:val="0"/>
        <w:autoSpaceDE/>
        <w:autoSpaceDN/>
        <w:bidi w:val="0"/>
        <w:adjustRightInd w:val="0"/>
        <w:snapToGrid w:val="0"/>
        <w:spacing w:line="560" w:lineRule="exact"/>
        <w:textAlignment w:val="auto"/>
        <w:rPr>
          <w:rFonts w:hint="eastAsia" w:ascii="仿宋_GB2312" w:hAnsi="Calibri" w:eastAsia="仿宋_GB2312" w:cs="Times New Roman"/>
          <w:b w:val="0"/>
          <w:bCs w:val="0"/>
          <w:sz w:val="32"/>
          <w:szCs w:val="32"/>
        </w:rPr>
      </w:pPr>
      <w:r>
        <w:rPr>
          <w:rFonts w:hint="eastAsia" w:ascii="仿宋_GB2312" w:hAnsi="Calibri" w:eastAsia="仿宋_GB2312" w:cs="Times New Roman"/>
          <w:b w:val="0"/>
          <w:bCs w:val="0"/>
          <w:sz w:val="32"/>
          <w:szCs w:val="32"/>
        </w:rPr>
        <w:t>　　（三）被引进的国内机构上年度具有知识产权运营、专利无效、专利复审等业务成功案例10项以上；或上年度代理知识产权诉讼案件结案数量达20件以上；或已为至少2家世界500强企业提供知识产权业务服务；</w:t>
      </w:r>
    </w:p>
    <w:p>
      <w:pPr>
        <w:keepNext w:val="0"/>
        <w:keepLines w:val="0"/>
        <w:pageBreakBefore w:val="0"/>
        <w:numPr>
          <w:ilvl w:val="0"/>
          <w:numId w:val="0"/>
        </w:numPr>
        <w:kinsoku/>
        <w:wordWrap/>
        <w:overflowPunct/>
        <w:topLinePunct w:val="0"/>
        <w:autoSpaceDE/>
        <w:autoSpaceDN/>
        <w:bidi w:val="0"/>
        <w:adjustRightInd w:val="0"/>
        <w:snapToGrid w:val="0"/>
        <w:spacing w:line="560" w:lineRule="exact"/>
        <w:textAlignment w:val="auto"/>
        <w:rPr>
          <w:rFonts w:hint="eastAsia" w:ascii="仿宋_GB2312" w:hAnsi="Calibri" w:eastAsia="仿宋_GB2312" w:cs="Times New Roman"/>
          <w:b w:val="0"/>
          <w:bCs w:val="0"/>
          <w:sz w:val="32"/>
          <w:szCs w:val="32"/>
        </w:rPr>
      </w:pPr>
      <w:r>
        <w:rPr>
          <w:rFonts w:hint="eastAsia" w:ascii="仿宋_GB2312" w:hAnsi="Calibri" w:eastAsia="仿宋_GB2312" w:cs="Times New Roman"/>
          <w:b w:val="0"/>
          <w:bCs w:val="0"/>
          <w:sz w:val="32"/>
          <w:szCs w:val="32"/>
        </w:rPr>
        <w:t>　　（四）在深圳设立稳定的工作场所并拥有稳定的工作团队，设立时间达6个月以上；</w:t>
      </w:r>
    </w:p>
    <w:p>
      <w:pPr>
        <w:keepNext w:val="0"/>
        <w:keepLines w:val="0"/>
        <w:pageBreakBefore w:val="0"/>
        <w:numPr>
          <w:ilvl w:val="0"/>
          <w:numId w:val="0"/>
        </w:numPr>
        <w:kinsoku/>
        <w:wordWrap/>
        <w:overflowPunct/>
        <w:topLinePunct w:val="0"/>
        <w:autoSpaceDE/>
        <w:autoSpaceDN/>
        <w:bidi w:val="0"/>
        <w:adjustRightInd w:val="0"/>
        <w:snapToGrid w:val="0"/>
        <w:spacing w:line="560" w:lineRule="exact"/>
        <w:textAlignment w:val="auto"/>
        <w:rPr>
          <w:rFonts w:hint="eastAsia" w:ascii="仿宋_GB2312" w:hAnsi="Calibri" w:eastAsia="仿宋_GB2312" w:cs="Times New Roman"/>
          <w:b w:val="0"/>
          <w:bCs w:val="0"/>
          <w:sz w:val="32"/>
          <w:szCs w:val="32"/>
        </w:rPr>
      </w:pPr>
      <w:r>
        <w:rPr>
          <w:rFonts w:hint="eastAsia" w:ascii="仿宋_GB2312" w:hAnsi="Calibri" w:eastAsia="仿宋_GB2312" w:cs="Times New Roman"/>
          <w:b w:val="0"/>
          <w:bCs w:val="0"/>
          <w:sz w:val="32"/>
          <w:szCs w:val="32"/>
        </w:rPr>
        <w:t>　　（五）在深圳常驻的专利代理师或律师5人以上；</w:t>
      </w:r>
    </w:p>
    <w:p>
      <w:pPr>
        <w:snapToGrid w:val="0"/>
        <w:spacing w:line="560" w:lineRule="exact"/>
        <w:ind w:firstLine="640" w:firstLineChars="200"/>
        <w:jc w:val="left"/>
        <w:rPr>
          <w:rFonts w:hint="eastAsia" w:ascii="仿宋_GB2312" w:hAnsi="Calibri" w:eastAsia="仿宋_GB2312" w:cs="Times New Roman"/>
          <w:sz w:val="32"/>
          <w:szCs w:val="32"/>
          <w:lang w:val="en-US" w:eastAsia="zh-CN"/>
        </w:rPr>
      </w:pPr>
      <w:r>
        <w:rPr>
          <w:rFonts w:hint="eastAsia" w:ascii="仿宋_GB2312" w:hAnsi="Calibri" w:eastAsia="仿宋_GB2312" w:cs="Times New Roman"/>
          <w:b w:val="0"/>
          <w:bCs w:val="0"/>
          <w:sz w:val="32"/>
          <w:szCs w:val="32"/>
        </w:rPr>
        <w:t>（六）为深圳企业提供知识产权服务，上年度常驻深圳的工作团队经营状况良好</w:t>
      </w:r>
      <w:r>
        <w:rPr>
          <w:rFonts w:hint="eastAsia" w:ascii="仿宋_GB2312" w:hAnsi="Calibri" w:eastAsia="仿宋_GB2312" w:cs="Times New Roman"/>
          <w:b w:val="0"/>
          <w:bCs w:val="0"/>
          <w:sz w:val="32"/>
          <w:szCs w:val="32"/>
          <w:lang w:eastAsia="zh-CN"/>
        </w:rPr>
        <w:t>。</w:t>
      </w:r>
    </w:p>
    <w:p>
      <w:pPr>
        <w:pStyle w:val="17"/>
        <w:numPr>
          <w:ilvl w:val="0"/>
          <w:numId w:val="1"/>
        </w:numPr>
        <w:snapToGrid w:val="0"/>
        <w:spacing w:line="560" w:lineRule="exact"/>
        <w:ind w:left="1361" w:firstLineChars="0"/>
        <w:rPr>
          <w:rFonts w:hint="eastAsia" w:ascii="黑体" w:hAnsi="黑体" w:eastAsia="黑体" w:cs="黑体"/>
          <w:b w:val="0"/>
          <w:bCs w:val="0"/>
          <w:sz w:val="32"/>
          <w:szCs w:val="32"/>
        </w:rPr>
      </w:pPr>
      <w:r>
        <w:rPr>
          <w:rFonts w:hint="eastAsia" w:ascii="黑体" w:hAnsi="黑体" w:eastAsia="黑体" w:cs="黑体"/>
          <w:b w:val="0"/>
          <w:bCs w:val="0"/>
          <w:sz w:val="32"/>
          <w:szCs w:val="32"/>
        </w:rPr>
        <w:t>不予资助的情形</w:t>
      </w:r>
    </w:p>
    <w:p>
      <w:pPr>
        <w:snapToGrid w:val="0"/>
        <w:spacing w:line="560" w:lineRule="exact"/>
        <w:ind w:firstLine="640" w:firstLineChars="200"/>
        <w:jc w:val="left"/>
        <w:rPr>
          <w:rFonts w:hint="eastAsia" w:ascii="仿宋_GB2312" w:hAnsi="Calibri" w:eastAsia="仿宋_GB2312" w:cs="Times New Roman"/>
          <w:sz w:val="32"/>
          <w:szCs w:val="32"/>
          <w:lang w:val="en-US" w:eastAsia="zh-CN"/>
        </w:rPr>
      </w:pPr>
      <w:r>
        <w:rPr>
          <w:rFonts w:hint="eastAsia" w:ascii="仿宋_GB2312" w:hAnsi="Calibri" w:eastAsia="仿宋_GB2312" w:cs="Times New Roman"/>
          <w:sz w:val="32"/>
          <w:szCs w:val="32"/>
          <w:lang w:val="en-US" w:eastAsia="zh-CN"/>
        </w:rPr>
        <w:t>申请人存在下列情形之一的，不予资助：</w:t>
      </w:r>
    </w:p>
    <w:p>
      <w:pPr>
        <w:adjustRightInd w:val="0"/>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（一）不符合相关法律、法规、规章、专项资金管理办法、专项资金操作规程有关要求的；</w:t>
      </w:r>
    </w:p>
    <w:p>
      <w:pPr>
        <w:snapToGrid w:val="0"/>
        <w:spacing w:line="560" w:lineRule="exact"/>
        <w:ind w:firstLine="640" w:firstLineChars="200"/>
        <w:jc w:val="left"/>
        <w:rPr>
          <w:rFonts w:hint="eastAsia" w:ascii="仿宋_GB2312" w:hAnsi="Calibri" w:eastAsia="仿宋_GB2312" w:cs="Times New Roman"/>
          <w:sz w:val="32"/>
          <w:szCs w:val="32"/>
          <w:lang w:val="en-US" w:eastAsia="zh-CN"/>
        </w:rPr>
      </w:pPr>
      <w:r>
        <w:rPr>
          <w:rFonts w:hint="eastAsia" w:ascii="仿宋_GB2312" w:hAnsi="Calibri" w:eastAsia="仿宋_GB2312" w:cs="Times New Roman"/>
          <w:sz w:val="32"/>
          <w:szCs w:val="32"/>
          <w:lang w:val="en-US" w:eastAsia="zh-CN"/>
        </w:rPr>
        <w:t>（二）经查询深圳市信用网，依法依规被纳入严重失信主体名单的；</w:t>
      </w:r>
    </w:p>
    <w:p>
      <w:pPr>
        <w:snapToGrid w:val="0"/>
        <w:spacing w:line="560" w:lineRule="exact"/>
        <w:ind w:firstLine="640" w:firstLineChars="200"/>
        <w:jc w:val="left"/>
        <w:rPr>
          <w:rFonts w:hint="eastAsia" w:ascii="仿宋_GB2312" w:hAnsi="Calibri" w:eastAsia="仿宋_GB2312" w:cs="Times New Roman"/>
          <w:sz w:val="32"/>
          <w:szCs w:val="32"/>
          <w:lang w:val="en-US" w:eastAsia="zh-CN"/>
        </w:rPr>
      </w:pPr>
      <w:r>
        <w:rPr>
          <w:rFonts w:hint="eastAsia" w:ascii="仿宋_GB2312" w:hAnsi="Calibri" w:eastAsia="仿宋_GB2312" w:cs="Times New Roman"/>
          <w:sz w:val="32"/>
          <w:szCs w:val="32"/>
          <w:lang w:val="en-US" w:eastAsia="zh-CN"/>
        </w:rPr>
        <w:t>（三）所申请项目已经获得市级同类资助或者奖励的；</w:t>
      </w:r>
    </w:p>
    <w:p>
      <w:pPr>
        <w:snapToGrid w:val="0"/>
        <w:spacing w:line="560" w:lineRule="exact"/>
        <w:ind w:firstLine="640" w:firstLineChars="200"/>
        <w:jc w:val="left"/>
        <w:rPr>
          <w:rFonts w:hint="eastAsia" w:ascii="仿宋_GB2312" w:hAnsi="Calibri" w:eastAsia="仿宋_GB2312" w:cs="Times New Roman"/>
          <w:sz w:val="32"/>
          <w:szCs w:val="32"/>
          <w:lang w:val="en-US" w:eastAsia="zh-CN"/>
        </w:rPr>
      </w:pPr>
      <w:r>
        <w:rPr>
          <w:rFonts w:hint="eastAsia" w:ascii="仿宋_GB2312" w:hAnsi="Calibri" w:eastAsia="仿宋_GB2312" w:cs="Times New Roman"/>
          <w:sz w:val="32"/>
          <w:szCs w:val="32"/>
          <w:lang w:val="en-US" w:eastAsia="zh-CN"/>
        </w:rPr>
        <w:t>（四）申请人主体已经消亡，或者进入破产清算程序的。</w:t>
      </w:r>
    </w:p>
    <w:p>
      <w:pPr>
        <w:pStyle w:val="17"/>
        <w:numPr>
          <w:ilvl w:val="0"/>
          <w:numId w:val="1"/>
        </w:numPr>
        <w:snapToGrid w:val="0"/>
        <w:spacing w:line="560" w:lineRule="exact"/>
        <w:ind w:left="1361" w:firstLineChars="0"/>
        <w:rPr>
          <w:rFonts w:hint="eastAsia" w:ascii="黑体" w:hAnsi="黑体" w:eastAsia="黑体" w:cs="黑体"/>
          <w:b w:val="0"/>
          <w:bCs w:val="0"/>
          <w:sz w:val="32"/>
          <w:szCs w:val="32"/>
        </w:rPr>
      </w:pPr>
      <w:r>
        <w:rPr>
          <w:rFonts w:hint="eastAsia" w:ascii="黑体" w:hAnsi="黑体" w:eastAsia="黑体" w:cs="黑体"/>
          <w:b w:val="0"/>
          <w:bCs w:val="0"/>
          <w:sz w:val="32"/>
          <w:szCs w:val="32"/>
        </w:rPr>
        <w:t>申请材料</w:t>
      </w:r>
    </w:p>
    <w:p>
      <w:pPr>
        <w:pStyle w:val="17"/>
        <w:numPr>
          <w:ilvl w:val="0"/>
          <w:numId w:val="2"/>
        </w:numPr>
        <w:snapToGrid w:val="0"/>
        <w:spacing w:line="560" w:lineRule="exact"/>
        <w:ind w:left="0" w:firstLine="643"/>
        <w:jc w:val="left"/>
        <w:rPr>
          <w:rFonts w:hint="eastAsia" w:ascii="楷体" w:hAnsi="楷体" w:eastAsia="楷体" w:cs="楷体"/>
          <w:b/>
          <w:bCs/>
          <w:sz w:val="32"/>
          <w:szCs w:val="32"/>
        </w:rPr>
      </w:pPr>
      <w:r>
        <w:rPr>
          <w:rFonts w:hint="eastAsia" w:ascii="楷体" w:hAnsi="楷体" w:eastAsia="楷体" w:cs="楷体"/>
          <w:b/>
          <w:bCs/>
          <w:sz w:val="32"/>
          <w:szCs w:val="32"/>
        </w:rPr>
        <w:t>申请表</w:t>
      </w:r>
    </w:p>
    <w:p>
      <w:pPr>
        <w:snapToGrid w:val="0"/>
        <w:spacing w:line="560" w:lineRule="exact"/>
        <w:ind w:firstLine="640" w:firstLineChars="200"/>
        <w:jc w:val="left"/>
        <w:rPr>
          <w:rFonts w:hint="eastAsia" w:ascii="仿宋_GB2312" w:hAnsi="Calibri" w:eastAsia="仿宋_GB2312" w:cs="Times New Roman"/>
          <w:sz w:val="32"/>
          <w:szCs w:val="32"/>
          <w:highlight w:val="none"/>
          <w:lang w:val="en-US" w:eastAsia="zh-CN"/>
        </w:rPr>
      </w:pPr>
      <w:r>
        <w:rPr>
          <w:rFonts w:hint="eastAsia" w:ascii="仿宋_GB2312" w:hAnsi="Calibri" w:eastAsia="仿宋_GB2312" w:cs="Times New Roman"/>
          <w:sz w:val="32"/>
          <w:szCs w:val="32"/>
          <w:lang w:val="en-US" w:eastAsia="zh-CN"/>
        </w:rPr>
        <w:t>在申报系统上在线填写项目申报信息。</w:t>
      </w:r>
    </w:p>
    <w:p>
      <w:pPr>
        <w:pStyle w:val="17"/>
        <w:numPr>
          <w:ilvl w:val="0"/>
          <w:numId w:val="2"/>
        </w:numPr>
        <w:snapToGrid w:val="0"/>
        <w:spacing w:line="560" w:lineRule="exact"/>
        <w:ind w:left="0" w:firstLine="643"/>
        <w:jc w:val="left"/>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国内外机构及在深圳机构的人员清单及相关资格材料</w:t>
      </w:r>
    </w:p>
    <w:p>
      <w:pPr>
        <w:snapToGrid w:val="0"/>
        <w:spacing w:line="560" w:lineRule="exact"/>
        <w:ind w:firstLine="640" w:firstLineChars="200"/>
        <w:jc w:val="left"/>
        <w:rPr>
          <w:rFonts w:hint="eastAsia" w:ascii="仿宋_GB2312" w:hAnsi="Calibri" w:eastAsia="仿宋_GB2312" w:cs="Times New Roman"/>
          <w:sz w:val="32"/>
          <w:szCs w:val="32"/>
          <w:highlight w:val="yellow"/>
          <w:lang w:val="en-US" w:eastAsia="zh-CN"/>
        </w:rPr>
      </w:pPr>
      <w:r>
        <w:rPr>
          <w:rFonts w:hint="eastAsia" w:ascii="仿宋_GB2312" w:hAnsi="Calibri" w:eastAsia="仿宋_GB2312" w:cs="Times New Roman"/>
          <w:sz w:val="32"/>
          <w:szCs w:val="32"/>
          <w:lang w:val="en-US" w:eastAsia="zh-CN"/>
        </w:rPr>
        <w:t>提交被引进的国内外机构及在深圳机构的人员相关资格材料，国外机构人员提供：聘用合同、执业资格佐证材料，所提供文件如为其他国家或地区文字应当提供对应翻译文件；国内人员提供：执业资格材</w:t>
      </w:r>
      <w:r>
        <w:rPr>
          <w:rFonts w:hint="eastAsia" w:ascii="仿宋_GB2312" w:hAnsi="Calibri" w:eastAsia="仿宋_GB2312" w:cs="Times New Roman"/>
          <w:sz w:val="32"/>
          <w:szCs w:val="32"/>
          <w:highlight w:val="none"/>
          <w:lang w:val="en-US" w:eastAsia="zh-CN"/>
        </w:rPr>
        <w:t>料。</w:t>
      </w:r>
    </w:p>
    <w:p>
      <w:pPr>
        <w:pStyle w:val="17"/>
        <w:numPr>
          <w:ilvl w:val="0"/>
          <w:numId w:val="2"/>
        </w:numPr>
        <w:snapToGrid w:val="0"/>
        <w:spacing w:line="560" w:lineRule="exact"/>
        <w:ind w:left="0" w:firstLine="643"/>
        <w:jc w:val="left"/>
        <w:rPr>
          <w:rFonts w:hint="default" w:ascii="楷体" w:hAnsi="楷体" w:eastAsia="楷体" w:cs="楷体"/>
          <w:b/>
          <w:bCs/>
          <w:sz w:val="32"/>
          <w:szCs w:val="32"/>
          <w:lang w:val="en-US" w:eastAsia="zh-CN"/>
        </w:rPr>
      </w:pPr>
      <w:r>
        <w:rPr>
          <w:rFonts w:hint="eastAsia" w:ascii="楷体" w:hAnsi="楷体" w:eastAsia="楷体" w:cs="楷体"/>
          <w:b/>
          <w:bCs/>
          <w:sz w:val="32"/>
          <w:szCs w:val="32"/>
          <w:lang w:val="en-US" w:eastAsia="zh-CN"/>
        </w:rPr>
        <w:t>上年度知识产权业务情况总结及相关材料，包括但不限于运营合同、诉讼判决文书、调解文书、无效复审决定、知识产权服务合同</w:t>
      </w:r>
    </w:p>
    <w:p>
      <w:pPr>
        <w:snapToGrid w:val="0"/>
        <w:spacing w:line="560" w:lineRule="exact"/>
        <w:ind w:firstLine="640" w:firstLineChars="200"/>
        <w:jc w:val="left"/>
        <w:rPr>
          <w:rFonts w:hint="eastAsia" w:ascii="仿宋_GB2312" w:hAnsi="Calibri" w:eastAsia="仿宋_GB2312" w:cs="Times New Roman"/>
          <w:sz w:val="32"/>
          <w:szCs w:val="32"/>
          <w:highlight w:val="none"/>
          <w:lang w:val="en-US" w:eastAsia="zh-CN"/>
        </w:rPr>
      </w:pPr>
      <w:r>
        <w:rPr>
          <w:rFonts w:hint="eastAsia" w:ascii="仿宋_GB2312" w:hAnsi="Calibri" w:eastAsia="仿宋_GB2312" w:cs="Times New Roman"/>
          <w:sz w:val="32"/>
          <w:szCs w:val="32"/>
          <w:highlight w:val="none"/>
          <w:lang w:val="en-US" w:eastAsia="zh-CN"/>
        </w:rPr>
        <w:t>1.</w:t>
      </w:r>
      <w:r>
        <w:rPr>
          <w:rFonts w:hint="default" w:ascii="仿宋_GB2312" w:hAnsi="Calibri" w:eastAsia="仿宋_GB2312" w:cs="Times New Roman"/>
          <w:sz w:val="32"/>
          <w:szCs w:val="32"/>
          <w:highlight w:val="none"/>
          <w:lang w:eastAsia="zh-CN"/>
        </w:rPr>
        <w:t>可</w:t>
      </w:r>
      <w:r>
        <w:rPr>
          <w:rFonts w:hint="eastAsia" w:ascii="仿宋_GB2312" w:hAnsi="Calibri" w:eastAsia="仿宋_GB2312" w:cs="Times New Roman"/>
          <w:sz w:val="32"/>
          <w:szCs w:val="32"/>
          <w:highlight w:val="none"/>
          <w:lang w:val="en-US" w:eastAsia="zh-CN"/>
        </w:rPr>
        <w:t>提供2023年度知识产权运营合同、无效宣告请求审查决定书、专利复审决定等业务成功案例佐证材料10项以上；</w:t>
      </w:r>
    </w:p>
    <w:p>
      <w:pPr>
        <w:snapToGrid w:val="0"/>
        <w:spacing w:line="560" w:lineRule="exact"/>
        <w:ind w:firstLine="640" w:firstLineChars="200"/>
        <w:jc w:val="left"/>
        <w:rPr>
          <w:rFonts w:hint="eastAsia" w:ascii="仿宋_GB2312" w:hAnsi="Calibri" w:eastAsia="仿宋_GB2312" w:cs="Times New Roman"/>
          <w:sz w:val="32"/>
          <w:szCs w:val="32"/>
          <w:highlight w:val="none"/>
          <w:lang w:val="en-US" w:eastAsia="zh-CN"/>
        </w:rPr>
      </w:pPr>
      <w:r>
        <w:rPr>
          <w:rFonts w:hint="eastAsia" w:ascii="仿宋_GB2312" w:hAnsi="Calibri" w:eastAsia="仿宋_GB2312" w:cs="Times New Roman"/>
          <w:sz w:val="32"/>
          <w:szCs w:val="32"/>
          <w:highlight w:val="none"/>
          <w:lang w:val="en-US" w:eastAsia="zh-CN"/>
        </w:rPr>
        <w:t>2</w:t>
      </w:r>
      <w:r>
        <w:rPr>
          <w:rFonts w:hint="default" w:ascii="仿宋_GB2312" w:hAnsi="Calibri" w:eastAsia="仿宋_GB2312" w:cs="Times New Roman"/>
          <w:sz w:val="32"/>
          <w:szCs w:val="32"/>
          <w:highlight w:val="none"/>
          <w:lang w:eastAsia="zh-CN"/>
        </w:rPr>
        <w:t>.可</w:t>
      </w:r>
      <w:r>
        <w:rPr>
          <w:rFonts w:hint="eastAsia" w:ascii="仿宋_GB2312" w:hAnsi="Calibri" w:eastAsia="仿宋_GB2312" w:cs="Times New Roman"/>
          <w:sz w:val="32"/>
          <w:szCs w:val="32"/>
          <w:highlight w:val="none"/>
          <w:lang w:val="en-US" w:eastAsia="zh-CN"/>
        </w:rPr>
        <w:t>提供2023年度代理知识产权诉讼案件的诉讼判决文书、调解文书佐证材料，结案数量20件以上；</w:t>
      </w:r>
    </w:p>
    <w:p>
      <w:pPr>
        <w:snapToGrid w:val="0"/>
        <w:spacing w:line="560" w:lineRule="exact"/>
        <w:ind w:firstLine="640" w:firstLineChars="200"/>
        <w:jc w:val="left"/>
        <w:rPr>
          <w:rFonts w:hint="eastAsia" w:ascii="仿宋_GB2312" w:hAnsi="Calibri" w:eastAsia="仿宋_GB2312" w:cs="Times New Roman"/>
          <w:sz w:val="32"/>
          <w:szCs w:val="32"/>
          <w:lang w:val="en-US" w:eastAsia="zh-CN"/>
        </w:rPr>
      </w:pPr>
      <w:r>
        <w:rPr>
          <w:rFonts w:hint="eastAsia" w:ascii="仿宋_GB2312" w:hAnsi="Calibri" w:eastAsia="仿宋_GB2312" w:cs="Times New Roman"/>
          <w:sz w:val="32"/>
          <w:szCs w:val="32"/>
          <w:lang w:val="en-US" w:eastAsia="zh-CN"/>
        </w:rPr>
        <w:t>3.</w:t>
      </w:r>
      <w:r>
        <w:rPr>
          <w:rFonts w:hint="default" w:ascii="仿宋_GB2312" w:hAnsi="Calibri" w:eastAsia="仿宋_GB2312" w:cs="Times New Roman"/>
          <w:sz w:val="32"/>
          <w:szCs w:val="32"/>
          <w:lang w:eastAsia="zh-CN"/>
        </w:rPr>
        <w:t>可</w:t>
      </w:r>
      <w:r>
        <w:rPr>
          <w:rFonts w:hint="eastAsia" w:ascii="仿宋_GB2312" w:hAnsi="Calibri" w:eastAsia="仿宋_GB2312" w:cs="Times New Roman"/>
          <w:sz w:val="32"/>
          <w:szCs w:val="32"/>
          <w:lang w:val="en-US" w:eastAsia="zh-CN"/>
        </w:rPr>
        <w:t>提供已为2家及以上世界500强企业</w:t>
      </w:r>
      <w:r>
        <w:rPr>
          <w:rFonts w:hint="default" w:ascii="仿宋_GB2312" w:hAnsi="Calibri" w:eastAsia="仿宋_GB2312" w:cs="Times New Roman"/>
          <w:sz w:val="32"/>
          <w:szCs w:val="32"/>
          <w:lang w:eastAsia="zh-CN"/>
        </w:rPr>
        <w:t>开展</w:t>
      </w:r>
      <w:r>
        <w:rPr>
          <w:rFonts w:hint="eastAsia" w:ascii="仿宋_GB2312" w:hAnsi="Calibri" w:eastAsia="仿宋_GB2312" w:cs="Times New Roman"/>
          <w:sz w:val="32"/>
          <w:szCs w:val="32"/>
          <w:lang w:val="en-US" w:eastAsia="zh-CN"/>
        </w:rPr>
        <w:t>知识产权服务业务</w:t>
      </w:r>
      <w:r>
        <w:rPr>
          <w:rFonts w:hint="eastAsia" w:ascii="仿宋_GB2312" w:hAnsi="Calibri" w:eastAsia="仿宋_GB2312" w:cs="Times New Roman"/>
          <w:sz w:val="32"/>
          <w:szCs w:val="32"/>
          <w:highlight w:val="none"/>
          <w:lang w:val="en-US" w:eastAsia="zh-CN"/>
        </w:rPr>
        <w:t>佐证材料</w:t>
      </w:r>
      <w:r>
        <w:rPr>
          <w:rFonts w:hint="default" w:ascii="仿宋_GB2312" w:hAnsi="Calibri" w:eastAsia="仿宋_GB2312" w:cs="Times New Roman"/>
          <w:sz w:val="32"/>
          <w:szCs w:val="32"/>
          <w:lang w:eastAsia="zh-CN"/>
        </w:rPr>
        <w:t>（如</w:t>
      </w:r>
      <w:r>
        <w:rPr>
          <w:rFonts w:hint="eastAsia" w:ascii="仿宋_GB2312" w:hAnsi="Calibri" w:eastAsia="仿宋_GB2312" w:cs="Times New Roman"/>
          <w:sz w:val="32"/>
          <w:szCs w:val="32"/>
          <w:lang w:val="en-US" w:eastAsia="zh-CN"/>
        </w:rPr>
        <w:t>委托合同、相关业务官方文件等</w:t>
      </w:r>
      <w:r>
        <w:rPr>
          <w:rFonts w:hint="default" w:ascii="仿宋_GB2312" w:hAnsi="Calibri" w:eastAsia="仿宋_GB2312" w:cs="Times New Roman"/>
          <w:sz w:val="32"/>
          <w:szCs w:val="32"/>
          <w:lang w:eastAsia="zh-CN"/>
        </w:rPr>
        <w:t>）</w:t>
      </w:r>
      <w:r>
        <w:rPr>
          <w:rFonts w:hint="eastAsia" w:ascii="仿宋_GB2312" w:hAnsi="Calibri" w:eastAsia="仿宋_GB2312" w:cs="Times New Roman"/>
          <w:sz w:val="32"/>
          <w:szCs w:val="32"/>
          <w:lang w:val="en-US" w:eastAsia="zh-CN"/>
        </w:rPr>
        <w:t>。</w:t>
      </w:r>
    </w:p>
    <w:p>
      <w:pPr>
        <w:pStyle w:val="17"/>
        <w:numPr>
          <w:ilvl w:val="0"/>
          <w:numId w:val="2"/>
        </w:numPr>
        <w:snapToGrid w:val="0"/>
        <w:spacing w:line="560" w:lineRule="exact"/>
        <w:ind w:left="0" w:firstLine="643"/>
        <w:jc w:val="left"/>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在深圳设立稳定的工作场所的相关材料</w:t>
      </w:r>
    </w:p>
    <w:p>
      <w:pPr>
        <w:snapToGrid w:val="0"/>
        <w:spacing w:line="560" w:lineRule="exact"/>
        <w:ind w:firstLine="640" w:firstLineChars="200"/>
        <w:jc w:val="left"/>
        <w:rPr>
          <w:rFonts w:hint="eastAsia" w:ascii="仿宋_GB2312" w:hAnsi="Calibri" w:eastAsia="仿宋_GB2312" w:cs="Times New Roman"/>
          <w:sz w:val="32"/>
          <w:szCs w:val="32"/>
          <w:lang w:val="en-US" w:eastAsia="zh-CN"/>
        </w:rPr>
      </w:pPr>
      <w:r>
        <w:rPr>
          <w:rFonts w:hint="eastAsia" w:ascii="仿宋_GB2312" w:hAnsi="Calibri" w:eastAsia="仿宋_GB2312" w:cs="Times New Roman"/>
          <w:sz w:val="32"/>
          <w:szCs w:val="32"/>
          <w:lang w:val="en-US" w:eastAsia="zh-CN"/>
        </w:rPr>
        <w:t>提交</w:t>
      </w:r>
      <w:r>
        <w:rPr>
          <w:rFonts w:hint="default" w:ascii="仿宋_GB2312" w:hAnsi="Calibri" w:eastAsia="仿宋_GB2312" w:cs="Times New Roman"/>
          <w:sz w:val="32"/>
          <w:szCs w:val="32"/>
          <w:lang w:eastAsia="zh-CN"/>
        </w:rPr>
        <w:t>在</w:t>
      </w:r>
      <w:r>
        <w:rPr>
          <w:rFonts w:hint="eastAsia" w:ascii="仿宋_GB2312" w:hAnsi="Calibri" w:eastAsia="仿宋_GB2312" w:cs="Times New Roman"/>
          <w:sz w:val="32"/>
          <w:szCs w:val="32"/>
          <w:lang w:val="en-US" w:eastAsia="zh-CN"/>
        </w:rPr>
        <w:t>深圳设立稳定的工作场所相关</w:t>
      </w:r>
      <w:r>
        <w:rPr>
          <w:rFonts w:hint="eastAsia" w:ascii="仿宋_GB2312" w:hAnsi="Calibri" w:eastAsia="仿宋_GB2312" w:cs="Times New Roman"/>
          <w:sz w:val="32"/>
          <w:szCs w:val="32"/>
          <w:highlight w:val="none"/>
          <w:lang w:val="en-US" w:eastAsia="zh-CN"/>
        </w:rPr>
        <w:t>佐证材料</w:t>
      </w:r>
      <w:r>
        <w:rPr>
          <w:rFonts w:hint="eastAsia" w:ascii="仿宋_GB2312" w:hAnsi="Calibri" w:eastAsia="仿宋_GB2312" w:cs="Times New Roman"/>
          <w:sz w:val="32"/>
          <w:szCs w:val="32"/>
          <w:lang w:val="en-US" w:eastAsia="zh-CN"/>
        </w:rPr>
        <w:t>。</w:t>
      </w:r>
    </w:p>
    <w:p>
      <w:pPr>
        <w:pStyle w:val="17"/>
        <w:numPr>
          <w:ilvl w:val="0"/>
          <w:numId w:val="2"/>
        </w:numPr>
        <w:snapToGrid w:val="0"/>
        <w:spacing w:line="560" w:lineRule="exact"/>
        <w:ind w:left="0" w:firstLine="643"/>
        <w:jc w:val="left"/>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2023年度常驻深圳的工作团队为深圳企业提供知识产权服务且经营状况良好的相关材料</w:t>
      </w:r>
    </w:p>
    <w:p>
      <w:pPr>
        <w:snapToGrid w:val="0"/>
        <w:spacing w:line="560" w:lineRule="exact"/>
        <w:ind w:firstLine="640" w:firstLineChars="200"/>
        <w:jc w:val="left"/>
        <w:rPr>
          <w:rFonts w:hint="eastAsia" w:ascii="仿宋_GB2312" w:hAnsi="Calibri" w:eastAsia="仿宋_GB2312" w:cs="Times New Roman"/>
          <w:sz w:val="32"/>
          <w:szCs w:val="32"/>
          <w:lang w:eastAsia="zh-CN"/>
        </w:rPr>
      </w:pPr>
      <w:r>
        <w:rPr>
          <w:rFonts w:hint="eastAsia" w:ascii="仿宋_GB2312" w:hAnsi="Calibri" w:eastAsia="仿宋_GB2312" w:cs="Times New Roman"/>
          <w:sz w:val="32"/>
          <w:szCs w:val="32"/>
          <w:lang w:val="en-US" w:eastAsia="zh-CN"/>
        </w:rPr>
        <w:t>1.</w:t>
      </w:r>
      <w:r>
        <w:rPr>
          <w:rFonts w:hint="eastAsia" w:ascii="仿宋_GB2312" w:hAnsi="Calibri" w:eastAsia="仿宋_GB2312" w:cs="Times New Roman"/>
          <w:sz w:val="32"/>
          <w:szCs w:val="32"/>
          <w:lang w:eastAsia="zh-CN"/>
        </w:rPr>
        <w:t>提交202</w:t>
      </w:r>
      <w:r>
        <w:rPr>
          <w:rFonts w:hint="eastAsia" w:ascii="仿宋_GB2312" w:hAnsi="Calibri" w:eastAsia="仿宋_GB2312" w:cs="Times New Roman"/>
          <w:sz w:val="32"/>
          <w:szCs w:val="32"/>
          <w:lang w:val="en-US" w:eastAsia="zh-CN"/>
        </w:rPr>
        <w:t>3</w:t>
      </w:r>
      <w:r>
        <w:rPr>
          <w:rFonts w:hint="eastAsia" w:ascii="仿宋_GB2312" w:hAnsi="Calibri" w:eastAsia="仿宋_GB2312" w:cs="Times New Roman"/>
          <w:sz w:val="32"/>
          <w:szCs w:val="32"/>
          <w:lang w:eastAsia="zh-CN"/>
        </w:rPr>
        <w:t>年度为深圳企业提供知识产权服务</w:t>
      </w:r>
      <w:r>
        <w:rPr>
          <w:rFonts w:hint="default" w:ascii="仿宋_GB2312" w:hAnsi="Calibri" w:eastAsia="仿宋_GB2312" w:cs="Times New Roman"/>
          <w:sz w:val="32"/>
          <w:szCs w:val="32"/>
          <w:lang w:eastAsia="zh-CN"/>
        </w:rPr>
        <w:t>的</w:t>
      </w:r>
      <w:r>
        <w:rPr>
          <w:rFonts w:hint="eastAsia" w:ascii="仿宋_GB2312" w:hAnsi="Calibri" w:eastAsia="仿宋_GB2312" w:cs="Times New Roman"/>
          <w:sz w:val="32"/>
          <w:szCs w:val="32"/>
          <w:highlight w:val="none"/>
          <w:lang w:val="en-US" w:eastAsia="zh-CN"/>
        </w:rPr>
        <w:t>佐证材料</w:t>
      </w:r>
      <w:r>
        <w:rPr>
          <w:rFonts w:hint="default" w:ascii="仿宋_GB2312" w:hAnsi="Calibri" w:eastAsia="仿宋_GB2312" w:cs="Times New Roman"/>
          <w:sz w:val="32"/>
          <w:szCs w:val="32"/>
          <w:lang w:eastAsia="zh-CN"/>
        </w:rPr>
        <w:t>（如</w:t>
      </w:r>
      <w:r>
        <w:rPr>
          <w:rFonts w:hint="eastAsia" w:ascii="仿宋_GB2312" w:hAnsi="Calibri" w:eastAsia="仿宋_GB2312" w:cs="Times New Roman"/>
          <w:sz w:val="32"/>
          <w:szCs w:val="32"/>
          <w:lang w:eastAsia="zh-CN"/>
        </w:rPr>
        <w:t>委托合同、相关业务官方文件等</w:t>
      </w:r>
      <w:r>
        <w:rPr>
          <w:rFonts w:hint="default" w:ascii="仿宋_GB2312" w:hAnsi="Calibri" w:eastAsia="仿宋_GB2312" w:cs="Times New Roman"/>
          <w:sz w:val="32"/>
          <w:szCs w:val="32"/>
          <w:lang w:eastAsia="zh-CN"/>
        </w:rPr>
        <w:t>）</w:t>
      </w:r>
      <w:r>
        <w:rPr>
          <w:rFonts w:hint="eastAsia" w:ascii="仿宋_GB2312" w:hAnsi="Calibri" w:eastAsia="仿宋_GB2312" w:cs="Times New Roman"/>
          <w:sz w:val="32"/>
          <w:szCs w:val="32"/>
          <w:lang w:eastAsia="zh-CN"/>
        </w:rPr>
        <w:t>；</w:t>
      </w:r>
    </w:p>
    <w:p>
      <w:pPr>
        <w:snapToGrid w:val="0"/>
        <w:spacing w:line="560" w:lineRule="exact"/>
        <w:ind w:firstLine="640" w:firstLineChars="200"/>
        <w:jc w:val="left"/>
        <w:rPr>
          <w:rFonts w:hint="default" w:ascii="仿宋_GB2312" w:hAnsi="Calibri" w:eastAsia="仿宋_GB2312" w:cs="Times New Roman"/>
          <w:sz w:val="32"/>
          <w:szCs w:val="32"/>
          <w:lang w:val="en-US" w:eastAsia="zh-CN"/>
        </w:rPr>
      </w:pPr>
      <w:r>
        <w:rPr>
          <w:rFonts w:hint="default" w:ascii="仿宋_GB2312" w:hAnsi="Calibri" w:eastAsia="仿宋_GB2312" w:cs="Times New Roman"/>
          <w:sz w:val="32"/>
          <w:szCs w:val="32"/>
          <w:lang w:val="en-US" w:eastAsia="zh-CN"/>
        </w:rPr>
        <w:t>2.申报引进国外机构的还需提供知识产权服务出口</w:t>
      </w:r>
      <w:r>
        <w:rPr>
          <w:rFonts w:hint="eastAsia" w:ascii="仿宋_GB2312" w:hAnsi="Calibri" w:eastAsia="仿宋_GB2312" w:cs="Times New Roman"/>
          <w:sz w:val="32"/>
          <w:szCs w:val="32"/>
          <w:lang w:val="en-US" w:eastAsia="zh-CN"/>
        </w:rPr>
        <w:t>的</w:t>
      </w:r>
      <w:r>
        <w:rPr>
          <w:rFonts w:hint="eastAsia" w:ascii="仿宋_GB2312" w:hAnsi="Calibri" w:eastAsia="仿宋_GB2312" w:cs="Times New Roman"/>
          <w:sz w:val="32"/>
          <w:szCs w:val="32"/>
          <w:highlight w:val="none"/>
          <w:lang w:val="en-US" w:eastAsia="zh-CN"/>
        </w:rPr>
        <w:t>佐证材料</w:t>
      </w:r>
      <w:r>
        <w:rPr>
          <w:rFonts w:hint="default" w:ascii="仿宋_GB2312" w:hAnsi="Calibri" w:eastAsia="仿宋_GB2312" w:cs="Times New Roman"/>
          <w:sz w:val="32"/>
          <w:szCs w:val="32"/>
          <w:lang w:val="en-US" w:eastAsia="zh-CN"/>
        </w:rPr>
        <w:t>（如</w:t>
      </w:r>
      <w:r>
        <w:rPr>
          <w:rFonts w:hint="eastAsia" w:ascii="仿宋_GB2312" w:hAnsi="Calibri" w:eastAsia="仿宋_GB2312" w:cs="Times New Roman"/>
          <w:sz w:val="32"/>
          <w:szCs w:val="32"/>
          <w:lang w:val="en-US" w:eastAsia="zh-CN"/>
        </w:rPr>
        <w:t>委托合同、相关业务官方文件等</w:t>
      </w:r>
      <w:r>
        <w:rPr>
          <w:rFonts w:hint="default" w:ascii="仿宋_GB2312" w:hAnsi="Calibri" w:eastAsia="仿宋_GB2312" w:cs="Times New Roman"/>
          <w:sz w:val="32"/>
          <w:szCs w:val="32"/>
          <w:lang w:val="en-US" w:eastAsia="zh-CN"/>
        </w:rPr>
        <w:t>）；</w:t>
      </w:r>
    </w:p>
    <w:p>
      <w:pPr>
        <w:snapToGrid w:val="0"/>
        <w:spacing w:line="560" w:lineRule="exact"/>
        <w:ind w:firstLine="640" w:firstLineChars="200"/>
        <w:jc w:val="left"/>
        <w:rPr>
          <w:rFonts w:hint="default"/>
          <w:lang w:eastAsia="zh-CN"/>
        </w:rPr>
      </w:pPr>
      <w:r>
        <w:rPr>
          <w:rFonts w:hint="default" w:ascii="仿宋_GB2312" w:hAnsi="Calibri" w:eastAsia="仿宋_GB2312" w:cs="Times New Roman"/>
          <w:sz w:val="32"/>
          <w:szCs w:val="32"/>
          <w:lang w:eastAsia="zh-CN"/>
        </w:rPr>
        <w:t>3</w:t>
      </w:r>
      <w:r>
        <w:rPr>
          <w:rFonts w:hint="eastAsia" w:ascii="仿宋_GB2312" w:hAnsi="Calibri" w:eastAsia="仿宋_GB2312" w:cs="Times New Roman"/>
          <w:sz w:val="32"/>
          <w:szCs w:val="32"/>
          <w:lang w:val="en-US" w:eastAsia="zh-CN"/>
        </w:rPr>
        <w:t>.提交2023年度</w:t>
      </w:r>
      <w:r>
        <w:rPr>
          <w:rFonts w:hint="eastAsia" w:ascii="仿宋_GB2312" w:hAnsi="Calibri" w:eastAsia="仿宋_GB2312" w:cs="Times New Roman"/>
          <w:sz w:val="32"/>
          <w:szCs w:val="32"/>
          <w:lang w:eastAsia="zh-CN"/>
        </w:rPr>
        <w:t>财务审计报告</w:t>
      </w:r>
      <w:r>
        <w:rPr>
          <w:rFonts w:hint="eastAsia" w:ascii="仿宋_GB2312" w:hAnsi="Calibri" w:eastAsia="仿宋_GB2312" w:cs="Times New Roman"/>
          <w:sz w:val="32"/>
          <w:szCs w:val="32"/>
          <w:lang w:val="en-US" w:eastAsia="zh-CN"/>
        </w:rPr>
        <w:t>或财务报表</w:t>
      </w:r>
      <w:r>
        <w:rPr>
          <w:rFonts w:hint="eastAsia" w:ascii="仿宋_GB2312" w:hAnsi="Calibri" w:eastAsia="仿宋_GB2312" w:cs="Times New Roman"/>
          <w:sz w:val="32"/>
          <w:szCs w:val="32"/>
          <w:lang w:eastAsia="zh-CN"/>
        </w:rPr>
        <w:t>。</w:t>
      </w:r>
    </w:p>
    <w:p>
      <w:pPr>
        <w:pStyle w:val="17"/>
        <w:numPr>
          <w:ilvl w:val="0"/>
          <w:numId w:val="2"/>
        </w:numPr>
        <w:snapToGrid w:val="0"/>
        <w:spacing w:line="560" w:lineRule="exact"/>
        <w:ind w:left="0" w:firstLine="643"/>
        <w:jc w:val="left"/>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被引进机构为国外专利代理机构的，需提供获国家知识产权局批准在华设立常驻代表机构的相关材料</w:t>
      </w:r>
    </w:p>
    <w:p>
      <w:pPr>
        <w:snapToGrid w:val="0"/>
        <w:spacing w:line="560" w:lineRule="exact"/>
        <w:ind w:firstLine="640" w:firstLineChars="200"/>
        <w:jc w:val="left"/>
        <w:rPr>
          <w:rFonts w:hint="eastAsia" w:ascii="仿宋_GB2312" w:hAnsi="Calibri" w:eastAsia="仿宋_GB2312" w:cs="Times New Roman"/>
          <w:sz w:val="32"/>
          <w:szCs w:val="32"/>
          <w:lang w:eastAsia="zh-CN"/>
        </w:rPr>
      </w:pPr>
      <w:r>
        <w:rPr>
          <w:rFonts w:hint="eastAsia" w:ascii="仿宋_GB2312" w:hAnsi="Calibri" w:eastAsia="仿宋_GB2312" w:cs="Times New Roman"/>
          <w:sz w:val="32"/>
          <w:szCs w:val="32"/>
          <w:lang w:eastAsia="zh-CN"/>
        </w:rPr>
        <w:t>提交</w:t>
      </w:r>
      <w:r>
        <w:rPr>
          <w:rFonts w:hint="eastAsia" w:ascii="仿宋_GB2312" w:hAnsi="Calibri" w:eastAsia="仿宋_GB2312" w:cs="Times New Roman"/>
          <w:sz w:val="32"/>
          <w:szCs w:val="32"/>
        </w:rPr>
        <w:t>取得国家知识产权局</w:t>
      </w:r>
      <w:r>
        <w:rPr>
          <w:rFonts w:hint="eastAsia" w:ascii="仿宋_GB2312" w:hAnsi="Calibri" w:eastAsia="仿宋_GB2312" w:cs="Times New Roman"/>
          <w:sz w:val="32"/>
          <w:szCs w:val="32"/>
          <w:lang w:eastAsia="zh-CN"/>
        </w:rPr>
        <w:t>批准的</w:t>
      </w:r>
      <w:r>
        <w:rPr>
          <w:rFonts w:hint="eastAsia" w:ascii="仿宋_GB2312" w:hAnsi="Calibri" w:eastAsia="仿宋_GB2312" w:cs="Times New Roman"/>
          <w:sz w:val="32"/>
          <w:szCs w:val="32"/>
        </w:rPr>
        <w:t>外国专利代理机构在华设立常驻代表机构</w:t>
      </w:r>
      <w:r>
        <w:rPr>
          <w:rFonts w:hint="eastAsia" w:ascii="仿宋_GB2312" w:hAnsi="Calibri" w:eastAsia="仿宋_GB2312" w:cs="Times New Roman"/>
          <w:color w:val="auto"/>
          <w:sz w:val="32"/>
          <w:szCs w:val="32"/>
          <w:highlight w:val="none"/>
        </w:rPr>
        <w:t>许</w:t>
      </w:r>
      <w:r>
        <w:rPr>
          <w:rFonts w:hint="default" w:ascii="仿宋_GB2312" w:hAnsi="Calibri" w:eastAsia="仿宋_GB2312" w:cs="Times New Roman"/>
          <w:color w:val="auto"/>
          <w:sz w:val="32"/>
          <w:szCs w:val="32"/>
          <w:highlight w:val="none"/>
        </w:rPr>
        <w:t>可</w:t>
      </w:r>
      <w:r>
        <w:rPr>
          <w:rFonts w:hint="default" w:ascii="仿宋_GB2312" w:hAnsi="Calibri" w:eastAsia="仿宋_GB2312" w:cs="Times New Roman"/>
          <w:sz w:val="32"/>
          <w:szCs w:val="32"/>
        </w:rPr>
        <w:t>的相关材料</w:t>
      </w:r>
      <w:r>
        <w:rPr>
          <w:rFonts w:hint="eastAsia" w:ascii="仿宋_GB2312" w:hAnsi="Calibri" w:eastAsia="仿宋_GB2312" w:cs="Times New Roman"/>
          <w:sz w:val="32"/>
          <w:szCs w:val="32"/>
          <w:lang w:eastAsia="zh-CN"/>
        </w:rPr>
        <w:t>。</w:t>
      </w:r>
    </w:p>
    <w:p>
      <w:pPr>
        <w:snapToGrid w:val="0"/>
        <w:spacing w:line="560" w:lineRule="exact"/>
        <w:ind w:firstLine="640" w:firstLineChars="200"/>
        <w:jc w:val="left"/>
        <w:rPr>
          <w:rFonts w:hint="eastAsia" w:ascii="仿宋_GB2312" w:hAnsi="Calibri" w:eastAsia="仿宋_GB2312" w:cs="Times New Roman"/>
          <w:sz w:val="32"/>
          <w:szCs w:val="32"/>
          <w:lang w:eastAsia="zh-CN"/>
        </w:rPr>
      </w:pPr>
      <w:r>
        <w:rPr>
          <w:rFonts w:hint="eastAsia" w:ascii="仿宋_GB2312" w:hAnsi="Calibri" w:eastAsia="仿宋_GB2312" w:cs="Times New Roman"/>
          <w:sz w:val="32"/>
          <w:szCs w:val="32"/>
        </w:rPr>
        <w:t>以上第（一）至第（</w:t>
      </w:r>
      <w:r>
        <w:rPr>
          <w:rFonts w:hint="eastAsia" w:ascii="仿宋_GB2312" w:hAnsi="Calibri" w:eastAsia="仿宋_GB2312" w:cs="Times New Roman"/>
          <w:sz w:val="32"/>
          <w:szCs w:val="32"/>
          <w:lang w:eastAsia="zh-CN"/>
        </w:rPr>
        <w:t>六</w:t>
      </w:r>
      <w:r>
        <w:rPr>
          <w:rFonts w:hint="eastAsia" w:ascii="仿宋_GB2312" w:hAnsi="Calibri" w:eastAsia="仿宋_GB2312" w:cs="Times New Roman"/>
          <w:sz w:val="32"/>
          <w:szCs w:val="32"/>
        </w:rPr>
        <w:t>）项全部申请材料应当确保页面文字、公章、签名等实质性内容清晰可辨，各页面主要内容均为正向，不可横置或倒置。</w:t>
      </w:r>
    </w:p>
    <w:p>
      <w:pPr>
        <w:pStyle w:val="17"/>
        <w:numPr>
          <w:ilvl w:val="0"/>
          <w:numId w:val="1"/>
        </w:numPr>
        <w:snapToGrid w:val="0"/>
        <w:spacing w:line="560" w:lineRule="exact"/>
        <w:ind w:left="1361" w:firstLineChars="0"/>
        <w:rPr>
          <w:rFonts w:hint="eastAsia" w:ascii="黑体" w:hAnsi="黑体" w:eastAsia="黑体" w:cs="黑体"/>
          <w:b w:val="0"/>
          <w:bCs w:val="0"/>
          <w:sz w:val="32"/>
          <w:szCs w:val="32"/>
        </w:rPr>
      </w:pPr>
      <w:r>
        <w:rPr>
          <w:rFonts w:hint="eastAsia" w:ascii="黑体" w:hAnsi="黑体" w:eastAsia="黑体" w:cs="黑体"/>
          <w:b w:val="0"/>
          <w:bCs w:val="0"/>
          <w:sz w:val="32"/>
          <w:szCs w:val="32"/>
        </w:rPr>
        <w:t>受理事宜</w:t>
      </w:r>
    </w:p>
    <w:p>
      <w:pPr>
        <w:snapToGrid w:val="0"/>
        <w:spacing w:line="560" w:lineRule="exact"/>
        <w:ind w:firstLine="640" w:firstLineChars="200"/>
        <w:jc w:val="left"/>
        <w:rPr>
          <w:rFonts w:hint="eastAsia" w:ascii="楷体" w:hAnsi="楷体" w:eastAsia="楷体" w:cs="楷体"/>
          <w:sz w:val="32"/>
          <w:szCs w:val="32"/>
        </w:rPr>
      </w:pPr>
      <w:r>
        <w:rPr>
          <w:rFonts w:hint="eastAsia" w:ascii="楷体" w:hAnsi="楷体" w:eastAsia="楷体" w:cs="楷体"/>
          <w:b/>
          <w:bCs/>
          <w:sz w:val="32"/>
          <w:szCs w:val="32"/>
        </w:rPr>
        <w:t>（一）受理机关</w:t>
      </w:r>
      <w:r>
        <w:rPr>
          <w:rFonts w:hint="eastAsia" w:ascii="楷体" w:hAnsi="楷体" w:eastAsia="楷体" w:cs="楷体"/>
          <w:sz w:val="32"/>
          <w:szCs w:val="32"/>
        </w:rPr>
        <w:t>：</w:t>
      </w:r>
      <w:r>
        <w:rPr>
          <w:rFonts w:hint="eastAsia" w:ascii="仿宋_GB2312" w:hAnsi="Calibri" w:eastAsia="仿宋_GB2312" w:cs="Times New Roman"/>
          <w:sz w:val="32"/>
          <w:szCs w:val="32"/>
          <w:lang w:eastAsia="zh-CN"/>
        </w:rPr>
        <w:t>深圳市市场监督管理局。</w:t>
      </w:r>
    </w:p>
    <w:p>
      <w:pPr>
        <w:snapToGrid w:val="0"/>
        <w:spacing w:line="560" w:lineRule="exact"/>
        <w:ind w:firstLine="640" w:firstLineChars="200"/>
        <w:jc w:val="left"/>
        <w:rPr>
          <w:rFonts w:hint="eastAsia" w:ascii="仿宋_GB2312" w:eastAsia="仿宋_GB2312"/>
          <w:color w:val="FF0000"/>
          <w:sz w:val="32"/>
          <w:szCs w:val="32"/>
          <w:lang w:eastAsia="zh-CN"/>
        </w:rPr>
      </w:pPr>
      <w:r>
        <w:rPr>
          <w:rFonts w:hint="eastAsia" w:ascii="楷体_GB2312" w:hAnsi="楷体_GB2312" w:eastAsia="楷体_GB2312" w:cs="楷体_GB2312"/>
          <w:b/>
          <w:bCs/>
          <w:sz w:val="32"/>
          <w:szCs w:val="32"/>
        </w:rPr>
        <w:t>（二）受</w:t>
      </w:r>
      <w:r>
        <w:rPr>
          <w:rFonts w:hint="eastAsia" w:ascii="楷体_GB2312" w:hAnsi="楷体_GB2312" w:eastAsia="楷体_GB2312" w:cs="楷体_GB2312"/>
          <w:b/>
          <w:bCs/>
          <w:color w:val="auto"/>
          <w:sz w:val="32"/>
          <w:szCs w:val="32"/>
        </w:rPr>
        <w:t>理时间</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1</w:t>
      </w:r>
      <w:r>
        <w:rPr>
          <w:rFonts w:hint="default"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日9:00至202</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31</w:t>
      </w:r>
      <w:r>
        <w:rPr>
          <w:rFonts w:hint="eastAsia" w:ascii="仿宋_GB2312" w:hAnsi="仿宋_GB2312" w:eastAsia="仿宋_GB2312" w:cs="仿宋_GB2312"/>
          <w:sz w:val="32"/>
          <w:szCs w:val="32"/>
          <w:highlight w:val="none"/>
        </w:rPr>
        <w:t>日18:00</w:t>
      </w:r>
      <w:r>
        <w:rPr>
          <w:rFonts w:hint="eastAsia" w:ascii="仿宋_GB2312" w:eastAsia="仿宋_GB2312"/>
          <w:color w:val="auto"/>
          <w:sz w:val="32"/>
          <w:szCs w:val="32"/>
          <w:lang w:eastAsia="zh-CN"/>
        </w:rPr>
        <w:t>。</w:t>
      </w:r>
    </w:p>
    <w:p>
      <w:pPr>
        <w:snapToGrid w:val="0"/>
        <w:spacing w:line="560" w:lineRule="exact"/>
        <w:ind w:firstLine="640" w:firstLineChars="200"/>
        <w:jc w:val="left"/>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（三）申报方式</w:t>
      </w:r>
    </w:p>
    <w:p>
      <w:pPr>
        <w:numPr>
          <w:ilvl w:val="0"/>
          <w:numId w:val="0"/>
        </w:numPr>
        <w:snapToGrid w:val="0"/>
        <w:spacing w:line="560" w:lineRule="exact"/>
        <w:ind w:firstLine="640" w:firstLineChars="200"/>
        <w:rPr>
          <w:rFonts w:ascii="仿宋_GB2312" w:eastAsia="仿宋_GB2312"/>
          <w:kern w:val="0"/>
          <w:sz w:val="32"/>
          <w:szCs w:val="32"/>
        </w:rPr>
      </w:pPr>
      <w:r>
        <w:rPr>
          <w:rFonts w:hint="eastAsia" w:ascii="仿宋_GB2312" w:eastAsia="仿宋_GB2312"/>
          <w:sz w:val="32"/>
          <w:szCs w:val="32"/>
        </w:rPr>
        <w:t>本</w:t>
      </w:r>
      <w:r>
        <w:rPr>
          <w:rFonts w:hint="eastAsia" w:ascii="仿宋_GB2312" w:eastAsia="仿宋_GB2312"/>
          <w:sz w:val="32"/>
          <w:szCs w:val="32"/>
          <w:lang w:eastAsia="zh-CN"/>
        </w:rPr>
        <w:t>项目</w:t>
      </w:r>
      <w:r>
        <w:rPr>
          <w:rFonts w:hint="eastAsia" w:ascii="仿宋_GB2312" w:eastAsia="仿宋_GB2312"/>
          <w:sz w:val="32"/>
          <w:szCs w:val="32"/>
        </w:rPr>
        <w:t>实行网上在线申报，申报</w:t>
      </w:r>
      <w:r>
        <w:rPr>
          <w:rFonts w:hint="eastAsia" w:ascii="仿宋_GB2312" w:eastAsia="仿宋_GB2312"/>
          <w:sz w:val="32"/>
          <w:szCs w:val="32"/>
          <w:lang w:eastAsia="zh-CN"/>
        </w:rPr>
        <w:t>人需进入深圳市财政专项资金统一管理平台</w:t>
      </w:r>
      <w:r>
        <w:rPr>
          <w:rFonts w:hint="eastAsia" w:ascii="仿宋_GB2312" w:eastAsia="仿宋_GB2312"/>
          <w:color w:val="auto"/>
          <w:kern w:val="0"/>
          <w:sz w:val="32"/>
          <w:szCs w:val="32"/>
          <w:lang w:eastAsia="zh-CN"/>
        </w:rPr>
        <w:t>（</w:t>
      </w:r>
      <w:r>
        <w:rPr>
          <w:rFonts w:hint="eastAsia" w:ascii="仿宋_GB2312" w:eastAsia="仿宋_GB2312"/>
          <w:color w:val="auto"/>
          <w:sz w:val="32"/>
          <w:szCs w:val="32"/>
          <w:highlight w:val="none"/>
        </w:rPr>
        <w:t>https://cqt.szfb.sz.gov.cn/#/home</w:t>
      </w:r>
      <w:r>
        <w:rPr>
          <w:rFonts w:hint="eastAsia" w:ascii="仿宋_GB2312" w:eastAsia="仿宋_GB2312"/>
          <w:color w:val="auto"/>
          <w:sz w:val="32"/>
          <w:szCs w:val="32"/>
          <w:highlight w:val="none"/>
          <w:lang w:eastAsia="zh-CN"/>
        </w:rPr>
        <w:t>）</w:t>
      </w:r>
      <w:r>
        <w:rPr>
          <w:rFonts w:hint="eastAsia" w:ascii="仿宋_GB2312" w:eastAsia="仿宋_GB2312"/>
          <w:color w:val="auto"/>
          <w:kern w:val="2"/>
          <w:sz w:val="32"/>
          <w:szCs w:val="32"/>
          <w:lang w:val="en" w:eastAsia="zh-CN"/>
        </w:rPr>
        <w:t>。</w:t>
      </w:r>
      <w:r>
        <w:rPr>
          <w:rFonts w:hint="eastAsia" w:ascii="仿宋_GB2312" w:eastAsia="仿宋_GB2312"/>
          <w:sz w:val="32"/>
          <w:szCs w:val="32"/>
          <w:highlight w:val="none"/>
          <w:lang w:eastAsia="zh-CN"/>
        </w:rPr>
        <w:t>该平台已与</w:t>
      </w:r>
      <w:r>
        <w:rPr>
          <w:rFonts w:hint="eastAsia" w:ascii="仿宋_GB2312" w:eastAsia="仿宋_GB2312"/>
          <w:sz w:val="32"/>
          <w:szCs w:val="32"/>
          <w:highlight w:val="none"/>
        </w:rPr>
        <w:t>广东政务服务网</w:t>
      </w:r>
      <w:r>
        <w:rPr>
          <w:rFonts w:hint="eastAsia" w:ascii="仿宋_GB2312" w:eastAsia="仿宋_GB2312"/>
          <w:sz w:val="32"/>
          <w:szCs w:val="32"/>
          <w:highlight w:val="none"/>
          <w:lang w:eastAsia="zh-CN"/>
        </w:rPr>
        <w:t>信息进行对接，申请人可使用</w:t>
      </w:r>
      <w:r>
        <w:rPr>
          <w:rFonts w:hint="eastAsia" w:ascii="仿宋_GB2312" w:eastAsia="仿宋_GB2312"/>
          <w:sz w:val="32"/>
          <w:szCs w:val="32"/>
          <w:highlight w:val="none"/>
        </w:rPr>
        <w:t>广东政务服务网账户</w:t>
      </w:r>
      <w:r>
        <w:rPr>
          <w:rFonts w:hint="eastAsia" w:ascii="仿宋_GB2312" w:eastAsia="仿宋_GB2312"/>
          <w:sz w:val="32"/>
          <w:szCs w:val="32"/>
          <w:highlight w:val="none"/>
          <w:lang w:eastAsia="zh-CN"/>
        </w:rPr>
        <w:t>密码进行登录，在搜索栏搜索本项目名称，</w:t>
      </w:r>
      <w:r>
        <w:rPr>
          <w:rFonts w:hint="eastAsia" w:ascii="仿宋_GB2312" w:eastAsia="仿宋_GB2312"/>
          <w:sz w:val="32"/>
          <w:szCs w:val="32"/>
        </w:rPr>
        <w:t>选中后进入申报页面。</w:t>
      </w:r>
      <w:r>
        <w:rPr>
          <w:rFonts w:ascii="仿宋_GB2312" w:eastAsia="仿宋_GB2312"/>
          <w:kern w:val="0"/>
          <w:sz w:val="32"/>
          <w:szCs w:val="32"/>
        </w:rPr>
        <w:t>将本指南第</w:t>
      </w:r>
      <w:r>
        <w:rPr>
          <w:rFonts w:hint="eastAsia" w:ascii="仿宋_GB2312" w:eastAsia="仿宋_GB2312"/>
          <w:kern w:val="0"/>
          <w:sz w:val="32"/>
          <w:szCs w:val="32"/>
        </w:rPr>
        <w:t>六</w:t>
      </w:r>
      <w:r>
        <w:rPr>
          <w:rFonts w:ascii="仿宋_GB2312" w:eastAsia="仿宋_GB2312"/>
          <w:kern w:val="0"/>
          <w:sz w:val="32"/>
          <w:szCs w:val="32"/>
        </w:rPr>
        <w:t>条要求的</w:t>
      </w:r>
      <w:r>
        <w:rPr>
          <w:rFonts w:hint="eastAsia" w:ascii="仿宋_GB2312" w:eastAsia="仿宋_GB2312"/>
          <w:kern w:val="0"/>
          <w:sz w:val="32"/>
          <w:szCs w:val="32"/>
        </w:rPr>
        <w:t>全部</w:t>
      </w:r>
      <w:r>
        <w:rPr>
          <w:rFonts w:ascii="仿宋_GB2312" w:eastAsia="仿宋_GB2312"/>
          <w:kern w:val="0"/>
          <w:sz w:val="32"/>
          <w:szCs w:val="32"/>
        </w:rPr>
        <w:t>申</w:t>
      </w:r>
      <w:r>
        <w:rPr>
          <w:rFonts w:hint="eastAsia" w:ascii="仿宋_GB2312" w:eastAsia="仿宋_GB2312"/>
          <w:kern w:val="0"/>
          <w:sz w:val="32"/>
          <w:szCs w:val="32"/>
        </w:rPr>
        <w:t>请</w:t>
      </w:r>
      <w:r>
        <w:rPr>
          <w:rFonts w:ascii="仿宋_GB2312" w:eastAsia="仿宋_GB2312"/>
          <w:kern w:val="0"/>
          <w:sz w:val="32"/>
          <w:szCs w:val="32"/>
        </w:rPr>
        <w:t>材料按照申报系统中的</w:t>
      </w:r>
      <w:r>
        <w:rPr>
          <w:rFonts w:hint="eastAsia" w:ascii="仿宋_GB2312" w:eastAsia="仿宋_GB2312"/>
          <w:kern w:val="0"/>
          <w:sz w:val="32"/>
          <w:szCs w:val="32"/>
        </w:rPr>
        <w:t>有关</w:t>
      </w:r>
      <w:r>
        <w:rPr>
          <w:rFonts w:ascii="仿宋_GB2312" w:eastAsia="仿宋_GB2312"/>
          <w:kern w:val="0"/>
          <w:sz w:val="32"/>
          <w:szCs w:val="32"/>
        </w:rPr>
        <w:t>提示要求</w:t>
      </w:r>
      <w:r>
        <w:rPr>
          <w:rFonts w:hint="eastAsia" w:ascii="仿宋_GB2312" w:eastAsia="仿宋_GB2312"/>
          <w:kern w:val="0"/>
          <w:sz w:val="32"/>
          <w:szCs w:val="32"/>
        </w:rPr>
        <w:t>分别</w:t>
      </w:r>
      <w:r>
        <w:rPr>
          <w:rFonts w:ascii="仿宋_GB2312" w:eastAsia="仿宋_GB2312"/>
          <w:kern w:val="0"/>
          <w:sz w:val="32"/>
          <w:szCs w:val="32"/>
        </w:rPr>
        <w:t>上传。</w:t>
      </w:r>
    </w:p>
    <w:p>
      <w:pPr>
        <w:snapToGrid w:val="0"/>
        <w:spacing w:line="560" w:lineRule="exact"/>
        <w:ind w:firstLine="640" w:firstLineChars="200"/>
        <w:jc w:val="both"/>
        <w:rPr>
          <w:rFonts w:hint="eastAsia" w:ascii="仿宋_GB2312" w:hAnsi="Calibri" w:eastAsia="仿宋_GB2312" w:cs="Times New Roman"/>
          <w:sz w:val="32"/>
          <w:szCs w:val="32"/>
          <w:lang w:eastAsia="zh-CN"/>
        </w:rPr>
      </w:pPr>
      <w:r>
        <w:rPr>
          <w:rFonts w:hint="eastAsia" w:ascii="仿宋_GB2312" w:eastAsia="仿宋_GB2312"/>
          <w:sz w:val="32"/>
          <w:szCs w:val="32"/>
        </w:rPr>
        <w:t>申报系统技术支持电话：0755-27038037。申报业务咨询电话：0755-83070752</w:t>
      </w:r>
      <w:r>
        <w:rPr>
          <w:rFonts w:hint="eastAsia" w:ascii="仿宋_GB2312" w:hAnsi="仿宋_GB2312" w:eastAsia="仿宋_GB2312" w:cs="仿宋_GB2312"/>
          <w:sz w:val="32"/>
          <w:szCs w:val="32"/>
        </w:rPr>
        <w:t>。</w:t>
      </w:r>
      <w:r>
        <w:rPr>
          <w:rFonts w:hint="eastAsia" w:ascii="仿宋_GB2312" w:eastAsia="仿宋_GB2312"/>
          <w:sz w:val="32"/>
          <w:szCs w:val="32"/>
        </w:rPr>
        <w:t>办公时间：星期一至星期五（法定节假日除外）上午09:00-12:00，下午14:00-18:00。</w:t>
      </w:r>
    </w:p>
    <w:p>
      <w:pPr>
        <w:pStyle w:val="17"/>
        <w:numPr>
          <w:ilvl w:val="0"/>
          <w:numId w:val="1"/>
        </w:numPr>
        <w:snapToGrid w:val="0"/>
        <w:spacing w:line="560" w:lineRule="exact"/>
        <w:ind w:left="1361" w:firstLineChars="0"/>
        <w:rPr>
          <w:rFonts w:hint="eastAsia" w:ascii="黑体" w:hAnsi="黑体" w:eastAsia="黑体" w:cs="黑体"/>
          <w:b w:val="0"/>
          <w:bCs w:val="0"/>
          <w:sz w:val="32"/>
          <w:szCs w:val="32"/>
        </w:rPr>
      </w:pPr>
      <w:r>
        <w:rPr>
          <w:rFonts w:hint="eastAsia" w:ascii="黑体" w:hAnsi="黑体" w:eastAsia="黑体" w:cs="黑体"/>
          <w:b w:val="0"/>
          <w:bCs w:val="0"/>
          <w:sz w:val="32"/>
          <w:szCs w:val="32"/>
        </w:rPr>
        <w:t>决定机关</w:t>
      </w:r>
    </w:p>
    <w:p>
      <w:pPr>
        <w:snapToGrid w:val="0"/>
        <w:spacing w:line="560" w:lineRule="exact"/>
        <w:ind w:firstLine="640" w:firstLineChars="200"/>
        <w:jc w:val="left"/>
        <w:rPr>
          <w:rFonts w:hint="eastAsia" w:ascii="楷体" w:hAnsi="楷体" w:eastAsia="楷体" w:cs="楷体"/>
          <w:sz w:val="32"/>
          <w:szCs w:val="32"/>
        </w:rPr>
      </w:pPr>
      <w:r>
        <w:rPr>
          <w:rFonts w:hint="eastAsia" w:ascii="楷体" w:hAnsi="楷体" w:eastAsia="楷体" w:cs="楷体"/>
          <w:sz w:val="32"/>
          <w:szCs w:val="32"/>
        </w:rPr>
        <w:t>深圳市市场监督管理局</w:t>
      </w:r>
    </w:p>
    <w:p>
      <w:pPr>
        <w:pStyle w:val="17"/>
        <w:numPr>
          <w:ilvl w:val="0"/>
          <w:numId w:val="1"/>
        </w:numPr>
        <w:snapToGrid w:val="0"/>
        <w:spacing w:line="560" w:lineRule="exact"/>
        <w:ind w:left="1361" w:firstLineChars="0"/>
        <w:rPr>
          <w:rFonts w:hint="eastAsia" w:ascii="黑体" w:hAnsi="黑体" w:eastAsia="黑体" w:cs="黑体"/>
          <w:b w:val="0"/>
          <w:bCs w:val="0"/>
          <w:sz w:val="32"/>
          <w:szCs w:val="32"/>
        </w:rPr>
      </w:pPr>
      <w:r>
        <w:rPr>
          <w:rFonts w:hint="eastAsia" w:ascii="黑体" w:hAnsi="黑体" w:eastAsia="黑体" w:cs="黑体"/>
          <w:b w:val="0"/>
          <w:bCs w:val="0"/>
          <w:sz w:val="32"/>
          <w:szCs w:val="32"/>
        </w:rPr>
        <w:t>办理程序与注意事项</w:t>
      </w:r>
    </w:p>
    <w:p>
      <w:pPr>
        <w:snapToGrid w:val="0"/>
        <w:spacing w:line="560" w:lineRule="exact"/>
        <w:ind w:firstLine="640" w:firstLineChars="200"/>
        <w:jc w:val="left"/>
        <w:rPr>
          <w:rFonts w:hint="eastAsia" w:ascii="楷体" w:hAnsi="楷体" w:eastAsia="楷体" w:cs="楷体"/>
          <w:b/>
          <w:bCs/>
          <w:sz w:val="32"/>
          <w:szCs w:val="32"/>
        </w:rPr>
      </w:pPr>
      <w:r>
        <w:rPr>
          <w:rFonts w:hint="eastAsia" w:ascii="楷体" w:hAnsi="楷体" w:eastAsia="楷体" w:cs="楷体"/>
          <w:b/>
          <w:bCs/>
          <w:sz w:val="32"/>
          <w:szCs w:val="32"/>
        </w:rPr>
        <w:t>（一）办理程序</w:t>
      </w:r>
    </w:p>
    <w:p>
      <w:pPr>
        <w:numPr>
          <w:ilvl w:val="0"/>
          <w:numId w:val="0"/>
        </w:numPr>
        <w:snapToGrid w:val="0"/>
        <w:spacing w:line="560" w:lineRule="exact"/>
        <w:ind w:firstLine="640" w:firstLineChars="200"/>
        <w:rPr>
          <w:rFonts w:ascii="仿宋_GB2312" w:eastAsia="仿宋_GB2312"/>
          <w:sz w:val="32"/>
          <w:highlight w:val="none"/>
        </w:rPr>
      </w:pPr>
      <w:r>
        <w:rPr>
          <w:rFonts w:hint="eastAsia" w:ascii="仿宋_GB2312" w:eastAsia="仿宋_GB2312"/>
          <w:sz w:val="32"/>
          <w:highlight w:val="none"/>
        </w:rPr>
        <w:t>市市场监管局发布年度申报指南（通知）——申请人网上申报（通过申报系统在线提交电子申请材料）——市市场监管局受理初审（含可能发生的补正程序）——专家评审——</w:t>
      </w:r>
      <w:r>
        <w:rPr>
          <w:rFonts w:hint="default" w:ascii="仿宋_GB2312" w:eastAsia="仿宋_GB2312"/>
          <w:sz w:val="32"/>
          <w:highlight w:val="none"/>
        </w:rPr>
        <w:t>会同</w:t>
      </w:r>
      <w:r>
        <w:rPr>
          <w:rFonts w:hint="eastAsia" w:ascii="仿宋_GB2312" w:eastAsia="仿宋_GB2312"/>
          <w:sz w:val="32"/>
          <w:highlight w:val="none"/>
        </w:rPr>
        <w:t>相关部门核对数据、核查诚信情况</w:t>
      </w:r>
      <w:r>
        <w:rPr>
          <w:rFonts w:hint="default" w:ascii="仿宋_GB2312" w:eastAsia="仿宋_GB2312"/>
          <w:sz w:val="32"/>
          <w:highlight w:val="none"/>
        </w:rPr>
        <w:t>和重复资助情况</w:t>
      </w:r>
      <w:r>
        <w:rPr>
          <w:rFonts w:hint="eastAsia" w:ascii="仿宋_GB2312" w:eastAsia="仿宋_GB2312"/>
          <w:sz w:val="32"/>
          <w:highlight w:val="none"/>
        </w:rPr>
        <w:t>——</w:t>
      </w:r>
      <w:r>
        <w:rPr>
          <w:rFonts w:hint="eastAsia" w:ascii="仿宋_GB2312" w:hAnsi="仿宋_GB2312" w:eastAsia="仿宋_GB2312" w:cs="仿宋_GB2312"/>
          <w:sz w:val="32"/>
          <w:szCs w:val="32"/>
          <w:highlight w:val="none"/>
        </w:rPr>
        <w:t>集体研究决策</w:t>
      </w:r>
      <w:r>
        <w:rPr>
          <w:rFonts w:hint="eastAsia" w:ascii="仿宋_GB2312" w:eastAsia="仿宋_GB2312"/>
          <w:sz w:val="32"/>
          <w:highlight w:val="none"/>
        </w:rPr>
        <w:t>——公示（</w:t>
      </w:r>
      <w:r>
        <w:rPr>
          <w:rFonts w:ascii="仿宋_GB2312" w:eastAsia="仿宋_GB2312"/>
          <w:sz w:val="32"/>
          <w:highlight w:val="none"/>
        </w:rPr>
        <w:t>5个工作日）</w:t>
      </w:r>
      <w:r>
        <w:rPr>
          <w:rFonts w:hint="eastAsia" w:ascii="仿宋_GB2312" w:eastAsia="仿宋_GB2312"/>
          <w:sz w:val="32"/>
          <w:highlight w:val="none"/>
        </w:rPr>
        <w:t>——财政资金预算申请</w:t>
      </w:r>
      <w:r>
        <w:rPr>
          <w:rFonts w:hint="eastAsia" w:ascii="仿宋_GB2312" w:eastAsia="仿宋_GB2312"/>
          <w:sz w:val="32"/>
          <w:highlight w:val="none"/>
          <w:lang w:eastAsia="zh-CN"/>
        </w:rPr>
        <w:t>——</w:t>
      </w:r>
      <w:r>
        <w:rPr>
          <w:rFonts w:hint="eastAsia" w:ascii="仿宋_GB2312" w:eastAsia="仿宋_GB2312"/>
          <w:sz w:val="32"/>
          <w:highlight w:val="none"/>
        </w:rPr>
        <w:t>资金拨付。</w:t>
      </w:r>
    </w:p>
    <w:p>
      <w:pPr>
        <w:snapToGrid w:val="0"/>
        <w:spacing w:line="560" w:lineRule="exact"/>
        <w:ind w:firstLine="640" w:firstLineChars="200"/>
        <w:jc w:val="left"/>
        <w:rPr>
          <w:rFonts w:hint="eastAsia" w:ascii="楷体" w:hAnsi="楷体" w:eastAsia="楷体" w:cs="楷体"/>
          <w:b/>
          <w:bCs/>
          <w:sz w:val="32"/>
          <w:szCs w:val="32"/>
        </w:rPr>
      </w:pPr>
      <w:r>
        <w:rPr>
          <w:rFonts w:hint="eastAsia" w:ascii="楷体" w:hAnsi="楷体" w:eastAsia="楷体" w:cs="楷体"/>
          <w:b/>
          <w:bCs/>
          <w:sz w:val="32"/>
          <w:szCs w:val="32"/>
        </w:rPr>
        <w:t>（二）注意事项</w:t>
      </w:r>
    </w:p>
    <w:p>
      <w:pPr>
        <w:pStyle w:val="3"/>
        <w:snapToGrid w:val="0"/>
        <w:spacing w:before="0" w:beforeAutospacing="0" w:after="0" w:afterAutospacing="0" w:line="560" w:lineRule="exact"/>
        <w:ind w:firstLine="640" w:firstLineChars="200"/>
        <w:jc w:val="both"/>
        <w:rPr>
          <w:rFonts w:hint="default" w:ascii="仿宋_GB2312" w:hAnsi="仿宋_GB2312" w:eastAsia="仿宋_GB2312" w:cs="仿宋_GB2312"/>
          <w:b w:val="0"/>
          <w:sz w:val="32"/>
          <w:szCs w:val="32"/>
        </w:rPr>
      </w:pPr>
      <w:r>
        <w:rPr>
          <w:rFonts w:ascii="仿宋_GB2312" w:hAnsi="仿宋_GB2312" w:eastAsia="仿宋_GB2312" w:cs="仿宋_GB2312"/>
          <w:b w:val="0"/>
          <w:sz w:val="32"/>
          <w:szCs w:val="32"/>
        </w:rPr>
        <w:t>1．</w:t>
      </w:r>
      <w:r>
        <w:rPr>
          <w:rFonts w:hint="eastAsia" w:ascii="仿宋_GB2312" w:eastAsia="仿宋_GB2312"/>
          <w:b/>
          <w:bCs w:val="0"/>
          <w:sz w:val="32"/>
          <w:szCs w:val="32"/>
          <w:highlight w:val="none"/>
        </w:rPr>
        <w:t>申请人</w:t>
      </w:r>
      <w:r>
        <w:rPr>
          <w:rFonts w:hint="eastAsia" w:ascii="仿宋_GB2312" w:eastAsia="仿宋_GB2312"/>
          <w:b/>
          <w:bCs w:val="0"/>
          <w:sz w:val="32"/>
          <w:szCs w:val="32"/>
          <w:highlight w:val="none"/>
          <w:lang w:eastAsia="zh-CN"/>
        </w:rPr>
        <w:t>应为正常经营状态，并通过上述申报平台自行申报。</w:t>
      </w:r>
      <w:r>
        <w:rPr>
          <w:rFonts w:hint="eastAsia" w:ascii="仿宋_GB2312" w:eastAsia="仿宋_GB2312"/>
          <w:b w:val="0"/>
          <w:bCs/>
          <w:sz w:val="32"/>
          <w:szCs w:val="32"/>
        </w:rPr>
        <w:t>申请人广东政务服务网账户等级须达到五级（原L3级别）核验方可进行申报</w:t>
      </w:r>
      <w:r>
        <w:rPr>
          <w:rFonts w:ascii="仿宋_GB2312" w:hAnsi="仿宋_GB2312" w:eastAsia="仿宋_GB2312" w:cs="仿宋_GB2312"/>
          <w:b w:val="0"/>
          <w:sz w:val="32"/>
          <w:szCs w:val="32"/>
        </w:rPr>
        <w:t>。</w:t>
      </w:r>
      <w:r>
        <w:rPr>
          <w:rFonts w:hint="eastAsia" w:ascii="仿宋_GB2312" w:hAnsi="仿宋_GB2312" w:eastAsia="仿宋_GB2312" w:cs="仿宋_GB2312"/>
          <w:b w:val="0"/>
          <w:sz w:val="32"/>
          <w:szCs w:val="32"/>
        </w:rPr>
        <w:t>申请人名称与其银行开户名称必须完全一致，否则将影响资助申请审核结果及办理资金发放，相应后果由申请人自行承担。</w:t>
      </w:r>
    </w:p>
    <w:p>
      <w:pPr>
        <w:numPr>
          <w:ilvl w:val="0"/>
          <w:numId w:val="0"/>
        </w:numPr>
        <w:snapToGrid w:val="0"/>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w:t>
      </w:r>
      <w:r>
        <w:rPr>
          <w:rFonts w:ascii="仿宋_GB2312" w:hAnsi="仿宋_GB2312" w:eastAsia="仿宋_GB2312" w:cs="仿宋_GB2312"/>
          <w:b/>
          <w:sz w:val="32"/>
          <w:szCs w:val="32"/>
        </w:rPr>
        <w:t>．</w:t>
      </w:r>
      <w:r>
        <w:rPr>
          <w:rFonts w:hint="eastAsia" w:ascii="仿宋_GB2312" w:eastAsia="仿宋_GB2312"/>
          <w:sz w:val="32"/>
          <w:szCs w:val="32"/>
        </w:rPr>
        <w:t>严格按照申报系统有关提示进行填报</w:t>
      </w:r>
      <w:r>
        <w:rPr>
          <w:rFonts w:hint="eastAsia" w:ascii="仿宋_GB2312" w:eastAsia="仿宋_GB2312"/>
          <w:sz w:val="32"/>
          <w:szCs w:val="32"/>
          <w:lang w:eastAsia="zh-CN"/>
        </w:rPr>
        <w:t>，</w:t>
      </w:r>
      <w:r>
        <w:rPr>
          <w:rFonts w:hint="eastAsia" w:ascii="仿宋_GB2312" w:hAnsi="仿宋_GB2312" w:eastAsia="仿宋_GB2312" w:cs="仿宋_GB2312"/>
          <w:sz w:val="32"/>
          <w:szCs w:val="32"/>
          <w:lang w:eastAsia="zh-CN"/>
        </w:rPr>
        <w:t>深圳</w:t>
      </w:r>
      <w:r>
        <w:rPr>
          <w:rFonts w:hint="eastAsia" w:ascii="仿宋_GB2312" w:hAnsi="仿宋_GB2312" w:eastAsia="仿宋_GB2312" w:cs="仿宋_GB2312"/>
          <w:sz w:val="32"/>
          <w:szCs w:val="32"/>
        </w:rPr>
        <w:t>市知识产权主管部门对申请材料进行受理和初审，申请材料不完善</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，限期予以补正；申请人应按要求进行补正，未按要求补正材料或补正材料未通过审核的，不予资助或奖励</w:t>
      </w:r>
      <w:r>
        <w:rPr>
          <w:rFonts w:hint="eastAsia" w:ascii="仿宋_GB2312" w:hAnsi="仿宋_GB2312" w:eastAsia="仿宋_GB2312" w:cs="仿宋_GB2312"/>
          <w:sz w:val="32"/>
          <w:szCs w:val="32"/>
          <w:lang w:eastAsia="zh-CN"/>
        </w:rPr>
        <w:t>。</w:t>
      </w:r>
    </w:p>
    <w:p>
      <w:pPr>
        <w:numPr>
          <w:ilvl w:val="0"/>
          <w:numId w:val="0"/>
        </w:numPr>
        <w:snapToGrid w:val="0"/>
        <w:spacing w:line="560" w:lineRule="exact"/>
        <w:ind w:firstLine="640" w:firstLineChars="200"/>
        <w:rPr>
          <w:rFonts w:hint="eastAsia" w:ascii="仿宋_GB2312" w:eastAsia="仿宋_GB2312"/>
          <w:sz w:val="32"/>
          <w:szCs w:val="32"/>
        </w:rPr>
      </w:pPr>
      <w:r>
        <w:rPr>
          <w:rFonts w:hint="eastAsia" w:ascii="仿宋_GB2312" w:hAnsi="仿宋_GB2312" w:eastAsia="仿宋_GB2312" w:cs="仿宋_GB2312"/>
          <w:sz w:val="32"/>
          <w:szCs w:val="32"/>
          <w:lang w:val="en-US" w:eastAsia="zh-CN"/>
        </w:rPr>
        <w:t>3.</w:t>
      </w:r>
      <w:r>
        <w:rPr>
          <w:rFonts w:ascii="仿宋_GB2312" w:eastAsia="仿宋_GB2312"/>
          <w:sz w:val="32"/>
          <w:szCs w:val="32"/>
        </w:rPr>
        <w:t>申请人提交</w:t>
      </w:r>
      <w:r>
        <w:rPr>
          <w:rFonts w:hint="eastAsia" w:ascii="仿宋_GB2312" w:hAnsi="仿宋_GB2312" w:eastAsia="仿宋_GB2312" w:cs="仿宋_GB2312"/>
          <w:sz w:val="32"/>
          <w:szCs w:val="32"/>
        </w:rPr>
        <w:t>资助或奖励</w:t>
      </w:r>
      <w:r>
        <w:rPr>
          <w:rFonts w:ascii="仿宋_GB2312" w:eastAsia="仿宋_GB2312"/>
          <w:sz w:val="32"/>
          <w:szCs w:val="32"/>
        </w:rPr>
        <w:t>申请后，可通过</w:t>
      </w:r>
      <w:r>
        <w:rPr>
          <w:rFonts w:hint="eastAsia" w:ascii="仿宋_GB2312" w:eastAsia="仿宋_GB2312"/>
          <w:sz w:val="32"/>
          <w:szCs w:val="32"/>
        </w:rPr>
        <w:t>申报</w:t>
      </w:r>
      <w:r>
        <w:rPr>
          <w:rFonts w:ascii="仿宋_GB2312" w:eastAsia="仿宋_GB2312"/>
          <w:sz w:val="32"/>
          <w:szCs w:val="32"/>
        </w:rPr>
        <w:t>系统自行查询办理进度状态，</w:t>
      </w:r>
      <w:r>
        <w:rPr>
          <w:rFonts w:hint="eastAsia" w:ascii="仿宋_GB2312" w:eastAsia="仿宋_GB2312"/>
          <w:sz w:val="32"/>
          <w:szCs w:val="32"/>
        </w:rPr>
        <w:t>及时关注系统审批意见，</w:t>
      </w:r>
      <w:r>
        <w:rPr>
          <w:rFonts w:ascii="仿宋_GB2312" w:eastAsia="仿宋_GB2312"/>
          <w:sz w:val="32"/>
          <w:szCs w:val="32"/>
        </w:rPr>
        <w:t>根据系统提示信息及时办理有关手续。</w:t>
      </w:r>
      <w:r>
        <w:rPr>
          <w:rFonts w:hint="eastAsia" w:ascii="仿宋_GB2312" w:eastAsia="仿宋_GB2312"/>
          <w:sz w:val="32"/>
          <w:szCs w:val="32"/>
        </w:rPr>
        <w:t>本资助申请事项不设短信、电话和邮件等形式的通知推送。</w:t>
      </w:r>
    </w:p>
    <w:p>
      <w:pPr>
        <w:numPr>
          <w:ilvl w:val="0"/>
          <w:numId w:val="0"/>
        </w:numPr>
        <w:snapToGrid w:val="0"/>
        <w:spacing w:line="560" w:lineRule="exact"/>
        <w:ind w:firstLine="640" w:firstLineChars="200"/>
        <w:rPr>
          <w:rFonts w:ascii="仿宋_GB2312" w:hAnsi="仿宋_GB2312" w:eastAsia="仿宋_GB2312" w:cs="仿宋_GB2312"/>
          <w:b/>
          <w:sz w:val="32"/>
          <w:szCs w:val="32"/>
        </w:rPr>
      </w:pPr>
      <w:r>
        <w:rPr>
          <w:rFonts w:hint="eastAsia" w:ascii="仿宋_GB2312" w:eastAsia="仿宋_GB2312"/>
          <w:sz w:val="32"/>
          <w:szCs w:val="32"/>
          <w:lang w:val="en-US" w:eastAsia="zh-CN"/>
        </w:rPr>
        <w:t>4.</w:t>
      </w:r>
      <w:r>
        <w:rPr>
          <w:rFonts w:hint="eastAsia" w:ascii="仿宋_GB2312" w:hAnsi="仿宋_GB2312" w:eastAsia="仿宋_GB2312" w:cs="仿宋_GB2312"/>
          <w:sz w:val="32"/>
          <w:szCs w:val="32"/>
        </w:rPr>
        <w:t>本</w:t>
      </w:r>
      <w:r>
        <w:rPr>
          <w:rFonts w:hint="eastAsia" w:ascii="仿宋_GB2312" w:eastAsia="仿宋_GB2312"/>
          <w:sz w:val="32"/>
          <w:szCs w:val="32"/>
        </w:rPr>
        <w:t>资助专项资金的发放时间将根据市财政预算具体规划而定，届时将另行通知办理领款手续，请按通知要求办理。</w:t>
      </w:r>
    </w:p>
    <w:p>
      <w:pPr>
        <w:pStyle w:val="17"/>
        <w:numPr>
          <w:ilvl w:val="0"/>
          <w:numId w:val="1"/>
        </w:numPr>
        <w:snapToGrid w:val="0"/>
        <w:spacing w:line="560" w:lineRule="exact"/>
        <w:ind w:left="1361" w:firstLineChars="0"/>
        <w:rPr>
          <w:rFonts w:hint="eastAsia" w:ascii="黑体" w:hAnsi="黑体" w:eastAsia="黑体" w:cs="黑体"/>
          <w:b w:val="0"/>
          <w:bCs w:val="0"/>
          <w:sz w:val="32"/>
          <w:szCs w:val="32"/>
        </w:rPr>
      </w:pPr>
      <w:r>
        <w:rPr>
          <w:rFonts w:hint="eastAsia" w:ascii="黑体" w:hAnsi="黑体" w:eastAsia="黑体" w:cs="黑体"/>
          <w:b w:val="0"/>
          <w:bCs w:val="0"/>
          <w:sz w:val="32"/>
          <w:szCs w:val="32"/>
        </w:rPr>
        <w:t>合规提示</w:t>
      </w:r>
    </w:p>
    <w:p>
      <w:pPr>
        <w:pStyle w:val="3"/>
        <w:numPr>
          <w:ilvl w:val="0"/>
          <w:numId w:val="3"/>
        </w:numPr>
        <w:snapToGrid w:val="0"/>
        <w:spacing w:before="0" w:beforeAutospacing="0" w:after="0" w:afterAutospacing="0" w:line="560" w:lineRule="exact"/>
        <w:ind w:firstLine="640" w:firstLineChars="200"/>
        <w:jc w:val="both"/>
        <w:rPr>
          <w:rFonts w:hint="eastAsia" w:ascii="仿宋_GB2312" w:hAnsi="Calibri" w:eastAsia="仿宋_GB2312" w:cs="Times New Roman"/>
          <w:b w:val="0"/>
          <w:sz w:val="32"/>
          <w:szCs w:val="32"/>
          <w:highlight w:val="none"/>
          <w:lang w:eastAsia="zh-CN"/>
        </w:rPr>
      </w:pPr>
      <w:r>
        <w:rPr>
          <w:rFonts w:hint="eastAsia" w:ascii="仿宋_GB2312" w:hAnsi="Calibri" w:eastAsia="仿宋_GB2312" w:cs="Times New Roman"/>
          <w:b w:val="0"/>
          <w:sz w:val="32"/>
          <w:szCs w:val="32"/>
          <w:highlight w:val="none"/>
          <w:lang w:eastAsia="zh-CN"/>
        </w:rPr>
        <w:t>《深圳市市场监督管理局知识产权领域专项资金操作规程》第三十七条规定：申请人应对提交的申请材料真实性、合法性、有效性负责。申请人利用虚假材料或通过其他不正当行为骗取、套取、虚报、冒领、截留、挪用专项资金或者违反其他财务纪律的，按照有关规定处理；情节严重的，依照国家相关法律、法规移交有关部门处理。</w:t>
      </w:r>
    </w:p>
    <w:p>
      <w:pPr>
        <w:pStyle w:val="3"/>
        <w:numPr>
          <w:ilvl w:val="0"/>
          <w:numId w:val="3"/>
        </w:numPr>
        <w:snapToGrid w:val="0"/>
        <w:spacing w:before="0" w:beforeAutospacing="0" w:after="0" w:afterAutospacing="0" w:line="560" w:lineRule="exact"/>
        <w:ind w:firstLine="640" w:firstLineChars="200"/>
        <w:jc w:val="both"/>
        <w:rPr>
          <w:rFonts w:hint="eastAsia" w:ascii="仿宋_GB2312" w:hAnsi="Calibri" w:eastAsia="仿宋_GB2312" w:cs="Times New Roman"/>
          <w:b w:val="0"/>
          <w:sz w:val="32"/>
          <w:szCs w:val="32"/>
          <w:highlight w:val="none"/>
        </w:rPr>
      </w:pPr>
      <w:r>
        <w:rPr>
          <w:rFonts w:ascii="仿宋_GB2312" w:hAnsi="Calibri" w:eastAsia="仿宋_GB2312" w:cs="Times New Roman"/>
          <w:b w:val="0"/>
          <w:sz w:val="32"/>
          <w:szCs w:val="32"/>
          <w:highlight w:val="none"/>
        </w:rPr>
        <w:t>《深圳市市场监督管理局知识产权领域专项资金操作规程》第</w:t>
      </w:r>
      <w:r>
        <w:rPr>
          <w:rFonts w:hint="eastAsia" w:ascii="仿宋_GB2312" w:hAnsi="Calibri" w:eastAsia="仿宋_GB2312" w:cs="Times New Roman"/>
          <w:b w:val="0"/>
          <w:sz w:val="32"/>
          <w:szCs w:val="32"/>
          <w:highlight w:val="none"/>
          <w:lang w:eastAsia="zh-CN"/>
        </w:rPr>
        <w:t>三</w:t>
      </w:r>
      <w:r>
        <w:rPr>
          <w:rFonts w:ascii="仿宋_GB2312" w:hAnsi="Calibri" w:eastAsia="仿宋_GB2312" w:cs="Times New Roman"/>
          <w:b w:val="0"/>
          <w:sz w:val="32"/>
          <w:szCs w:val="32"/>
          <w:highlight w:val="none"/>
        </w:rPr>
        <w:t>十</w:t>
      </w:r>
      <w:r>
        <w:rPr>
          <w:rFonts w:hint="eastAsia" w:ascii="仿宋_GB2312" w:hAnsi="Calibri" w:eastAsia="仿宋_GB2312" w:cs="Times New Roman"/>
          <w:b w:val="0"/>
          <w:sz w:val="32"/>
          <w:szCs w:val="32"/>
          <w:highlight w:val="none"/>
          <w:lang w:eastAsia="zh-CN"/>
        </w:rPr>
        <w:t>八</w:t>
      </w:r>
      <w:r>
        <w:rPr>
          <w:rFonts w:ascii="仿宋_GB2312" w:hAnsi="Calibri" w:eastAsia="仿宋_GB2312" w:cs="Times New Roman"/>
          <w:b w:val="0"/>
          <w:sz w:val="32"/>
          <w:szCs w:val="32"/>
          <w:highlight w:val="none"/>
        </w:rPr>
        <w:t>条规定：</w:t>
      </w:r>
      <w:r>
        <w:rPr>
          <w:rFonts w:hint="eastAsia" w:ascii="仿宋_GB2312" w:hAnsi="Calibri" w:eastAsia="仿宋_GB2312" w:cs="Times New Roman"/>
          <w:b w:val="0"/>
          <w:sz w:val="32"/>
          <w:szCs w:val="32"/>
          <w:highlight w:val="none"/>
        </w:rPr>
        <w:t>受委托的第三方审计机构或专业机构在审计或核验过程中，存在弄虚作假、隐瞒事实真相或与受资助单位串通作弊并出具相关报告</w:t>
      </w:r>
      <w:r>
        <w:rPr>
          <w:rFonts w:hint="eastAsia" w:ascii="仿宋_GB2312" w:hAnsi="Calibri" w:eastAsia="仿宋_GB2312" w:cs="Times New Roman"/>
          <w:b w:val="0"/>
          <w:sz w:val="32"/>
          <w:szCs w:val="32"/>
          <w:highlight w:val="none"/>
          <w:lang w:eastAsia="zh-CN"/>
        </w:rPr>
        <w:t>情形的</w:t>
      </w:r>
      <w:r>
        <w:rPr>
          <w:rFonts w:hint="eastAsia" w:ascii="仿宋_GB2312" w:hAnsi="Calibri" w:eastAsia="仿宋_GB2312" w:cs="Times New Roman"/>
          <w:b w:val="0"/>
          <w:sz w:val="32"/>
          <w:szCs w:val="32"/>
          <w:highlight w:val="none"/>
        </w:rPr>
        <w:t>，按照有关规定追究责任。</w:t>
      </w:r>
    </w:p>
    <w:p>
      <w:pPr>
        <w:pStyle w:val="3"/>
        <w:snapToGrid w:val="0"/>
        <w:spacing w:before="0" w:beforeAutospacing="0" w:after="0" w:afterAutospacing="0" w:line="560" w:lineRule="exact"/>
        <w:ind w:firstLine="640" w:firstLineChars="200"/>
        <w:jc w:val="both"/>
        <w:rPr>
          <w:rFonts w:ascii="仿宋_GB2312" w:eastAsia="仿宋_GB2312"/>
          <w:b w:val="0"/>
          <w:sz w:val="32"/>
          <w:szCs w:val="32"/>
        </w:rPr>
      </w:pPr>
      <w:r>
        <w:rPr>
          <w:rFonts w:ascii="仿宋_GB2312" w:eastAsia="仿宋_GB2312"/>
          <w:b w:val="0"/>
          <w:sz w:val="32"/>
          <w:szCs w:val="32"/>
        </w:rPr>
        <w:t>（三）</w:t>
      </w:r>
      <w:r>
        <w:rPr>
          <w:rFonts w:hint="eastAsia" w:ascii="仿宋_GB2312" w:eastAsia="仿宋_GB2312"/>
          <w:b w:val="0"/>
          <w:sz w:val="32"/>
          <w:szCs w:val="32"/>
        </w:rPr>
        <w:t>《深圳市市场监督管理局知识产权领域专项资金操作规程》第三十九条规定：第三方中介机构不得违规代理本规程资助奖励项目申领事宜。</w:t>
      </w:r>
    </w:p>
    <w:p>
      <w:pPr>
        <w:pStyle w:val="3"/>
        <w:snapToGrid w:val="0"/>
        <w:spacing w:before="0" w:beforeAutospacing="0" w:after="0" w:afterAutospacing="0" w:line="560" w:lineRule="exact"/>
        <w:ind w:firstLine="640" w:firstLineChars="200"/>
        <w:jc w:val="both"/>
        <w:rPr>
          <w:rFonts w:hint="default"/>
        </w:rPr>
      </w:pPr>
      <w:r>
        <w:rPr>
          <w:rFonts w:hint="eastAsia" w:ascii="仿宋_GB2312" w:eastAsia="仿宋_GB2312"/>
          <w:b w:val="0"/>
          <w:sz w:val="32"/>
          <w:szCs w:val="32"/>
          <w:lang w:eastAsia="zh-CN"/>
        </w:rPr>
        <w:t>（四）</w:t>
      </w:r>
      <w:r>
        <w:rPr>
          <w:rFonts w:ascii="仿宋_GB2312" w:eastAsia="仿宋_GB2312"/>
          <w:b w:val="0"/>
          <w:sz w:val="32"/>
          <w:szCs w:val="32"/>
        </w:rPr>
        <w:t>根据上述规定，申请人申请资助时必须作出合规承诺（在申报系统中操作），否则不予受理。</w:t>
      </w:r>
    </w:p>
    <w:p>
      <w:pPr>
        <w:pStyle w:val="17"/>
        <w:numPr>
          <w:ilvl w:val="0"/>
          <w:numId w:val="1"/>
        </w:numPr>
        <w:snapToGrid w:val="0"/>
        <w:spacing w:line="560" w:lineRule="exact"/>
        <w:ind w:left="1361" w:firstLineChars="0"/>
        <w:rPr>
          <w:rFonts w:hint="eastAsia" w:ascii="黑体" w:hAnsi="黑体" w:eastAsia="黑体" w:cs="黑体"/>
          <w:b w:val="0"/>
          <w:bCs w:val="0"/>
          <w:sz w:val="32"/>
          <w:szCs w:val="32"/>
        </w:rPr>
      </w:pPr>
      <w:r>
        <w:rPr>
          <w:rFonts w:hint="eastAsia" w:ascii="黑体" w:hAnsi="黑体" w:eastAsia="黑体" w:cs="黑体"/>
          <w:b w:val="0"/>
          <w:bCs w:val="0"/>
          <w:sz w:val="32"/>
          <w:szCs w:val="32"/>
        </w:rPr>
        <w:t>收费情况</w:t>
      </w:r>
    </w:p>
    <w:p>
      <w:pPr>
        <w:numPr>
          <w:ilvl w:val="0"/>
          <w:numId w:val="0"/>
        </w:numPr>
        <w:adjustRightInd w:val="0"/>
        <w:snapToGrid w:val="0"/>
        <w:spacing w:line="600" w:lineRule="exact"/>
        <w:ind w:firstLine="640" w:firstLineChars="200"/>
        <w:jc w:val="left"/>
        <w:rPr>
          <w:rFonts w:hint="eastAsia" w:ascii="仿宋_GB2312" w:hAnsi="Times New Roman" w:eastAsia="仿宋_GB2312" w:cs="Times New Roman"/>
          <w:sz w:val="32"/>
          <w:szCs w:val="32"/>
          <w:highlight w:val="none"/>
        </w:rPr>
      </w:pPr>
      <w:r>
        <w:rPr>
          <w:rFonts w:hint="eastAsia" w:ascii="仿宋_GB2312" w:hAnsi="Times New Roman" w:eastAsia="仿宋_GB2312" w:cs="Times New Roman"/>
          <w:sz w:val="32"/>
          <w:szCs w:val="32"/>
          <w:highlight w:val="none"/>
        </w:rPr>
        <w:t>不收费。</w:t>
      </w:r>
    </w:p>
    <w:p>
      <w:pPr>
        <w:pStyle w:val="17"/>
        <w:numPr>
          <w:ilvl w:val="0"/>
          <w:numId w:val="1"/>
        </w:numPr>
        <w:snapToGrid w:val="0"/>
        <w:spacing w:line="560" w:lineRule="exact"/>
        <w:ind w:left="1361" w:firstLineChars="0"/>
        <w:rPr>
          <w:rFonts w:hint="eastAsia" w:ascii="黑体" w:hAnsi="黑体" w:eastAsia="黑体" w:cs="黑体"/>
          <w:b w:val="0"/>
          <w:bCs w:val="0"/>
          <w:sz w:val="32"/>
          <w:szCs w:val="32"/>
        </w:rPr>
      </w:pPr>
      <w:r>
        <w:rPr>
          <w:rFonts w:hint="eastAsia" w:ascii="黑体" w:hAnsi="黑体" w:eastAsia="黑体" w:cs="黑体"/>
          <w:b w:val="0"/>
          <w:bCs w:val="0"/>
          <w:sz w:val="32"/>
          <w:szCs w:val="32"/>
        </w:rPr>
        <w:t>年审或年检</w:t>
      </w:r>
    </w:p>
    <w:p>
      <w:pPr>
        <w:widowControl/>
        <w:snapToGrid w:val="0"/>
        <w:ind w:firstLine="640" w:firstLineChars="200"/>
        <w:jc w:val="both"/>
        <w:textAlignment w:val="center"/>
        <w:rPr>
          <w:rFonts w:hint="eastAsia" w:ascii="仿宋_GB2312" w:hAnsi="Calibri" w:eastAsia="仿宋_GB2312" w:cs="Times New Roman"/>
          <w:b w:val="0"/>
          <w:kern w:val="2"/>
          <w:sz w:val="32"/>
          <w:szCs w:val="32"/>
          <w:highlight w:val="none"/>
          <w:lang w:val="en-US" w:eastAsia="zh-CN" w:bidi="ar-SA"/>
        </w:rPr>
      </w:pPr>
      <w:r>
        <w:rPr>
          <w:rFonts w:hint="eastAsia" w:ascii="仿宋_GB2312" w:eastAsia="仿宋_GB2312"/>
          <w:sz w:val="32"/>
          <w:szCs w:val="32"/>
        </w:rPr>
        <w:t>无年审、年检</w:t>
      </w:r>
      <w:r>
        <w:rPr>
          <w:rFonts w:hint="eastAsia" w:ascii="仿宋_GB2312" w:eastAsia="仿宋_GB2312"/>
          <w:sz w:val="32"/>
          <w:szCs w:val="32"/>
          <w:lang w:eastAsia="zh-CN"/>
        </w:rPr>
        <w:t>。</w:t>
      </w:r>
    </w:p>
    <w:sectPr>
      <w:footerReference r:id="rId3" w:type="default"/>
      <w:pgSz w:w="11906" w:h="16838"/>
      <w:pgMar w:top="1440" w:right="1797" w:bottom="1440" w:left="1797"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00"/>
    <w:family w:val="auto"/>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fldChar w:fldCharType="begin"/>
    </w:r>
    <w:r>
      <w:instrText xml:space="preserve"> PAGE   \* MERGEFORMAT </w:instrText>
    </w:r>
    <w:r>
      <w:fldChar w:fldCharType="separate"/>
    </w:r>
    <w:r>
      <w:rPr>
        <w:lang w:val="zh-CN"/>
      </w:rPr>
      <w:t>14</w:t>
    </w:r>
    <w:r>
      <w:rPr>
        <w:lang w:val="zh-CN"/>
      </w:rPr>
      <w:fldChar w:fldCharType="end"/>
    </w:r>
  </w:p>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1683D1A"/>
    <w:multiLevelType w:val="singleLevel"/>
    <w:tmpl w:val="E1683D1A"/>
    <w:lvl w:ilvl="0" w:tentative="0">
      <w:start w:val="1"/>
      <w:numFmt w:val="chineseCounting"/>
      <w:suff w:val="nothing"/>
      <w:lvlText w:val="（%1）"/>
      <w:lvlJc w:val="left"/>
      <w:rPr>
        <w:rFonts w:hint="eastAsia"/>
      </w:rPr>
    </w:lvl>
  </w:abstractNum>
  <w:abstractNum w:abstractNumId="1">
    <w:nsid w:val="03E81AF4"/>
    <w:multiLevelType w:val="multilevel"/>
    <w:tmpl w:val="03E81AF4"/>
    <w:lvl w:ilvl="0" w:tentative="0">
      <w:start w:val="1"/>
      <w:numFmt w:val="japaneseCounting"/>
      <w:lvlText w:val="%1、"/>
      <w:lvlJc w:val="left"/>
      <w:pPr>
        <w:ind w:left="1360" w:hanging="720"/>
      </w:pPr>
      <w:rPr>
        <w:rFonts w:hint="default" w:ascii="黑体" w:hAnsi="黑体" w:eastAsia="黑体"/>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69F64F8"/>
    <w:multiLevelType w:val="multilevel"/>
    <w:tmpl w:val="269F64F8"/>
    <w:lvl w:ilvl="0" w:tentative="0">
      <w:start w:val="1"/>
      <w:numFmt w:val="japaneseCounting"/>
      <w:lvlText w:val="（%1）"/>
      <w:lvlJc w:val="left"/>
      <w:pPr>
        <w:ind w:left="1723" w:hanging="1080"/>
      </w:pPr>
      <w:rPr>
        <w:rFonts w:hint="eastAsia" w:ascii="楷体_GB2312" w:eastAsia="楷体_GB2312"/>
        <w:b/>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rPr>
        <w:rFonts w:hint="eastAsia" w:ascii="楷体_GB2312" w:eastAsia="楷体_GB2312"/>
        <w:b/>
      </w:rPr>
    </w:lvl>
    <w:lvl w:ilvl="4" w:tentative="0">
      <w:start w:val="1"/>
      <w:numFmt w:val="decimal"/>
      <w:lvlText w:val="（%5）"/>
      <w:lvlJc w:val="left"/>
      <w:pPr>
        <w:ind w:left="3403" w:hanging="1080"/>
      </w:pPr>
      <w:rPr>
        <w:rFonts w:hint="default"/>
        <w:lang w:val="en-US"/>
      </w:r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JmNzZiMDdkYTY0ZmRmMzBiOWIyYjRiNDY5NGVjYjcifQ=="/>
  </w:docVars>
  <w:rsids>
    <w:rsidRoot w:val="303C3716"/>
    <w:rsid w:val="0007317D"/>
    <w:rsid w:val="00093BFC"/>
    <w:rsid w:val="000D6AFA"/>
    <w:rsid w:val="000E339A"/>
    <w:rsid w:val="00114CE4"/>
    <w:rsid w:val="001215B3"/>
    <w:rsid w:val="0012255A"/>
    <w:rsid w:val="001501BC"/>
    <w:rsid w:val="00150517"/>
    <w:rsid w:val="001C037F"/>
    <w:rsid w:val="001C621F"/>
    <w:rsid w:val="001D6603"/>
    <w:rsid w:val="00235A49"/>
    <w:rsid w:val="00242477"/>
    <w:rsid w:val="00280A48"/>
    <w:rsid w:val="00292A22"/>
    <w:rsid w:val="002A61FE"/>
    <w:rsid w:val="002C264A"/>
    <w:rsid w:val="002E5A85"/>
    <w:rsid w:val="002F239C"/>
    <w:rsid w:val="002F5228"/>
    <w:rsid w:val="002F6363"/>
    <w:rsid w:val="00307DD3"/>
    <w:rsid w:val="00312128"/>
    <w:rsid w:val="00321345"/>
    <w:rsid w:val="003347DA"/>
    <w:rsid w:val="0034702C"/>
    <w:rsid w:val="003811D1"/>
    <w:rsid w:val="003859F9"/>
    <w:rsid w:val="0039130D"/>
    <w:rsid w:val="003A21BD"/>
    <w:rsid w:val="003B4E05"/>
    <w:rsid w:val="003C066F"/>
    <w:rsid w:val="00420EA1"/>
    <w:rsid w:val="00447BAC"/>
    <w:rsid w:val="004649A2"/>
    <w:rsid w:val="00470BBF"/>
    <w:rsid w:val="00471392"/>
    <w:rsid w:val="004920D0"/>
    <w:rsid w:val="00492249"/>
    <w:rsid w:val="00494F08"/>
    <w:rsid w:val="004D5860"/>
    <w:rsid w:val="00530529"/>
    <w:rsid w:val="00531E2F"/>
    <w:rsid w:val="0055487C"/>
    <w:rsid w:val="00566C01"/>
    <w:rsid w:val="00585AC2"/>
    <w:rsid w:val="00594157"/>
    <w:rsid w:val="005B66DA"/>
    <w:rsid w:val="005E71F2"/>
    <w:rsid w:val="005F0C56"/>
    <w:rsid w:val="005F45A6"/>
    <w:rsid w:val="00632D0B"/>
    <w:rsid w:val="00634337"/>
    <w:rsid w:val="00646253"/>
    <w:rsid w:val="00663281"/>
    <w:rsid w:val="00686501"/>
    <w:rsid w:val="006979D9"/>
    <w:rsid w:val="006C2A4B"/>
    <w:rsid w:val="006E17CC"/>
    <w:rsid w:val="00703C52"/>
    <w:rsid w:val="00731745"/>
    <w:rsid w:val="007660A5"/>
    <w:rsid w:val="007849BC"/>
    <w:rsid w:val="007B4669"/>
    <w:rsid w:val="007C6D7E"/>
    <w:rsid w:val="007D592F"/>
    <w:rsid w:val="0080254E"/>
    <w:rsid w:val="00803BEC"/>
    <w:rsid w:val="00804B30"/>
    <w:rsid w:val="008273B9"/>
    <w:rsid w:val="00834185"/>
    <w:rsid w:val="0085279F"/>
    <w:rsid w:val="00857A69"/>
    <w:rsid w:val="00886917"/>
    <w:rsid w:val="008871D0"/>
    <w:rsid w:val="00893849"/>
    <w:rsid w:val="008955FA"/>
    <w:rsid w:val="008B32B5"/>
    <w:rsid w:val="008B3A3F"/>
    <w:rsid w:val="008C42A1"/>
    <w:rsid w:val="008D79FB"/>
    <w:rsid w:val="008E38AE"/>
    <w:rsid w:val="00907EC9"/>
    <w:rsid w:val="0091297C"/>
    <w:rsid w:val="00940B80"/>
    <w:rsid w:val="009473BD"/>
    <w:rsid w:val="00953C36"/>
    <w:rsid w:val="00983D09"/>
    <w:rsid w:val="0098462C"/>
    <w:rsid w:val="009869D6"/>
    <w:rsid w:val="009A2E1B"/>
    <w:rsid w:val="009B31A9"/>
    <w:rsid w:val="009E0673"/>
    <w:rsid w:val="009E1CFD"/>
    <w:rsid w:val="00A03249"/>
    <w:rsid w:val="00A24F2C"/>
    <w:rsid w:val="00A4028E"/>
    <w:rsid w:val="00A4235D"/>
    <w:rsid w:val="00A44437"/>
    <w:rsid w:val="00A53B41"/>
    <w:rsid w:val="00A54FEB"/>
    <w:rsid w:val="00A57344"/>
    <w:rsid w:val="00A71C11"/>
    <w:rsid w:val="00A74F96"/>
    <w:rsid w:val="00A915BC"/>
    <w:rsid w:val="00AA6B56"/>
    <w:rsid w:val="00AE17D2"/>
    <w:rsid w:val="00AE765B"/>
    <w:rsid w:val="00B03CAC"/>
    <w:rsid w:val="00B37333"/>
    <w:rsid w:val="00B52FFD"/>
    <w:rsid w:val="00B60557"/>
    <w:rsid w:val="00B6434A"/>
    <w:rsid w:val="00BA0F93"/>
    <w:rsid w:val="00BA3D79"/>
    <w:rsid w:val="00BB3265"/>
    <w:rsid w:val="00BC3EA9"/>
    <w:rsid w:val="00BC6CC2"/>
    <w:rsid w:val="00BE7D66"/>
    <w:rsid w:val="00C128C2"/>
    <w:rsid w:val="00C14B97"/>
    <w:rsid w:val="00C214B2"/>
    <w:rsid w:val="00C31C7B"/>
    <w:rsid w:val="00C457A7"/>
    <w:rsid w:val="00C86EFD"/>
    <w:rsid w:val="00CA74B2"/>
    <w:rsid w:val="00CB6A5F"/>
    <w:rsid w:val="00CC34B5"/>
    <w:rsid w:val="00D00FFE"/>
    <w:rsid w:val="00D303FD"/>
    <w:rsid w:val="00D42C85"/>
    <w:rsid w:val="00D45EA8"/>
    <w:rsid w:val="00D57588"/>
    <w:rsid w:val="00D66F77"/>
    <w:rsid w:val="00D67A83"/>
    <w:rsid w:val="00D75F59"/>
    <w:rsid w:val="00D83C23"/>
    <w:rsid w:val="00D944CB"/>
    <w:rsid w:val="00DA3115"/>
    <w:rsid w:val="00DB0B7B"/>
    <w:rsid w:val="00DB79C3"/>
    <w:rsid w:val="00DC1675"/>
    <w:rsid w:val="00DE4EBD"/>
    <w:rsid w:val="00DF278D"/>
    <w:rsid w:val="00E15469"/>
    <w:rsid w:val="00E2151C"/>
    <w:rsid w:val="00E23582"/>
    <w:rsid w:val="00E37BC5"/>
    <w:rsid w:val="00E454F0"/>
    <w:rsid w:val="00E944CE"/>
    <w:rsid w:val="00EB6276"/>
    <w:rsid w:val="00EC3BDA"/>
    <w:rsid w:val="00EC41E1"/>
    <w:rsid w:val="00EC7B18"/>
    <w:rsid w:val="00F21DFC"/>
    <w:rsid w:val="00F21EDE"/>
    <w:rsid w:val="00F420F1"/>
    <w:rsid w:val="00FA231C"/>
    <w:rsid w:val="00FD5539"/>
    <w:rsid w:val="00FD73F4"/>
    <w:rsid w:val="00FF75B8"/>
    <w:rsid w:val="01125D25"/>
    <w:rsid w:val="01B04CC0"/>
    <w:rsid w:val="01F2081C"/>
    <w:rsid w:val="021A19F4"/>
    <w:rsid w:val="024E08E6"/>
    <w:rsid w:val="03AE1F3D"/>
    <w:rsid w:val="03D354A3"/>
    <w:rsid w:val="04383715"/>
    <w:rsid w:val="043C15D2"/>
    <w:rsid w:val="043F299D"/>
    <w:rsid w:val="049265E6"/>
    <w:rsid w:val="05D16844"/>
    <w:rsid w:val="062E3A05"/>
    <w:rsid w:val="06964A39"/>
    <w:rsid w:val="06A6656A"/>
    <w:rsid w:val="070C7A43"/>
    <w:rsid w:val="07EB4283"/>
    <w:rsid w:val="09071E3A"/>
    <w:rsid w:val="098E7DC0"/>
    <w:rsid w:val="0C3A68F0"/>
    <w:rsid w:val="0E0D1F34"/>
    <w:rsid w:val="0E59270B"/>
    <w:rsid w:val="0E673FB5"/>
    <w:rsid w:val="0F0D4E63"/>
    <w:rsid w:val="0F1C1FE4"/>
    <w:rsid w:val="0F78411D"/>
    <w:rsid w:val="0FDC41D9"/>
    <w:rsid w:val="10F82212"/>
    <w:rsid w:val="11297308"/>
    <w:rsid w:val="1192538C"/>
    <w:rsid w:val="11BC62C4"/>
    <w:rsid w:val="12D56DBB"/>
    <w:rsid w:val="12F73E27"/>
    <w:rsid w:val="136B4FBB"/>
    <w:rsid w:val="149F6D0A"/>
    <w:rsid w:val="15334A25"/>
    <w:rsid w:val="176C69F1"/>
    <w:rsid w:val="19B72489"/>
    <w:rsid w:val="1A143F96"/>
    <w:rsid w:val="1A3B0D90"/>
    <w:rsid w:val="1A5B1E1F"/>
    <w:rsid w:val="1BB14950"/>
    <w:rsid w:val="1C7C76D3"/>
    <w:rsid w:val="1CFE1A45"/>
    <w:rsid w:val="1D0846B2"/>
    <w:rsid w:val="1F606CBF"/>
    <w:rsid w:val="1F67179E"/>
    <w:rsid w:val="21472E33"/>
    <w:rsid w:val="216E140E"/>
    <w:rsid w:val="21856443"/>
    <w:rsid w:val="21C662EA"/>
    <w:rsid w:val="23056708"/>
    <w:rsid w:val="23B33D03"/>
    <w:rsid w:val="23BE314F"/>
    <w:rsid w:val="23D71F40"/>
    <w:rsid w:val="25D53064"/>
    <w:rsid w:val="2745076C"/>
    <w:rsid w:val="279E704B"/>
    <w:rsid w:val="27CB042D"/>
    <w:rsid w:val="288D7B28"/>
    <w:rsid w:val="28EB5A86"/>
    <w:rsid w:val="290D642E"/>
    <w:rsid w:val="29F43DC5"/>
    <w:rsid w:val="2A197D3F"/>
    <w:rsid w:val="2A53244F"/>
    <w:rsid w:val="2B241CF4"/>
    <w:rsid w:val="2B46596C"/>
    <w:rsid w:val="2B551DE9"/>
    <w:rsid w:val="2B693E6D"/>
    <w:rsid w:val="2C8761CF"/>
    <w:rsid w:val="2CE4735D"/>
    <w:rsid w:val="2D0421C3"/>
    <w:rsid w:val="2D121ED4"/>
    <w:rsid w:val="2DF626E4"/>
    <w:rsid w:val="2F797AE0"/>
    <w:rsid w:val="2FFC5FC9"/>
    <w:rsid w:val="303C3716"/>
    <w:rsid w:val="310212C5"/>
    <w:rsid w:val="310426F5"/>
    <w:rsid w:val="319D204F"/>
    <w:rsid w:val="320C2BA5"/>
    <w:rsid w:val="326A0012"/>
    <w:rsid w:val="326C66A7"/>
    <w:rsid w:val="333479D1"/>
    <w:rsid w:val="33BC72C6"/>
    <w:rsid w:val="33E75E85"/>
    <w:rsid w:val="34057CA4"/>
    <w:rsid w:val="344B5DC1"/>
    <w:rsid w:val="34F72A78"/>
    <w:rsid w:val="35DD476F"/>
    <w:rsid w:val="35F9779C"/>
    <w:rsid w:val="36BC568D"/>
    <w:rsid w:val="36E40AF7"/>
    <w:rsid w:val="37BC773C"/>
    <w:rsid w:val="37C02BEF"/>
    <w:rsid w:val="37CCE891"/>
    <w:rsid w:val="3803673F"/>
    <w:rsid w:val="38C56AB8"/>
    <w:rsid w:val="396B7745"/>
    <w:rsid w:val="39B9532C"/>
    <w:rsid w:val="3AF460A7"/>
    <w:rsid w:val="3AFDCF5E"/>
    <w:rsid w:val="3C1F14E6"/>
    <w:rsid w:val="3D6A4F17"/>
    <w:rsid w:val="3D6D08F7"/>
    <w:rsid w:val="3DF8A08D"/>
    <w:rsid w:val="3ECF4AB2"/>
    <w:rsid w:val="3EEB1A81"/>
    <w:rsid w:val="4074567F"/>
    <w:rsid w:val="40F06F8D"/>
    <w:rsid w:val="41B4247B"/>
    <w:rsid w:val="41DC7A43"/>
    <w:rsid w:val="41E45413"/>
    <w:rsid w:val="42472AB1"/>
    <w:rsid w:val="4287319D"/>
    <w:rsid w:val="43B2388E"/>
    <w:rsid w:val="455652B7"/>
    <w:rsid w:val="45A24138"/>
    <w:rsid w:val="466C2D04"/>
    <w:rsid w:val="467C209F"/>
    <w:rsid w:val="468646E6"/>
    <w:rsid w:val="46AC2FB7"/>
    <w:rsid w:val="4703237C"/>
    <w:rsid w:val="4795234D"/>
    <w:rsid w:val="47AE53FB"/>
    <w:rsid w:val="47B10A89"/>
    <w:rsid w:val="48371BB5"/>
    <w:rsid w:val="493901C1"/>
    <w:rsid w:val="495D248D"/>
    <w:rsid w:val="49CA1BE7"/>
    <w:rsid w:val="49E808A5"/>
    <w:rsid w:val="4A5D5730"/>
    <w:rsid w:val="4A806D12"/>
    <w:rsid w:val="4AC6279B"/>
    <w:rsid w:val="4B8C6A4A"/>
    <w:rsid w:val="4C4100FA"/>
    <w:rsid w:val="4C9044C1"/>
    <w:rsid w:val="4D844549"/>
    <w:rsid w:val="4DC25600"/>
    <w:rsid w:val="4EAE1E82"/>
    <w:rsid w:val="4EEB4F22"/>
    <w:rsid w:val="4F7827A1"/>
    <w:rsid w:val="50373AF5"/>
    <w:rsid w:val="504E575A"/>
    <w:rsid w:val="50FF62F5"/>
    <w:rsid w:val="51AE7DE7"/>
    <w:rsid w:val="51CF4660"/>
    <w:rsid w:val="537B258E"/>
    <w:rsid w:val="54D61816"/>
    <w:rsid w:val="551408A9"/>
    <w:rsid w:val="58094FB8"/>
    <w:rsid w:val="58677BB8"/>
    <w:rsid w:val="597A74EF"/>
    <w:rsid w:val="5A9E5E42"/>
    <w:rsid w:val="5BFA1C63"/>
    <w:rsid w:val="5D4436CF"/>
    <w:rsid w:val="5D5D1901"/>
    <w:rsid w:val="5D6D4DAE"/>
    <w:rsid w:val="5F107F1E"/>
    <w:rsid w:val="5FCC5B82"/>
    <w:rsid w:val="5FE9DBA4"/>
    <w:rsid w:val="60857A23"/>
    <w:rsid w:val="62F25AFF"/>
    <w:rsid w:val="647A50FF"/>
    <w:rsid w:val="64855AD1"/>
    <w:rsid w:val="65271A92"/>
    <w:rsid w:val="68333BEB"/>
    <w:rsid w:val="68343142"/>
    <w:rsid w:val="686164E1"/>
    <w:rsid w:val="691928F2"/>
    <w:rsid w:val="6ACE5FB0"/>
    <w:rsid w:val="6B036F9E"/>
    <w:rsid w:val="6BCD5A19"/>
    <w:rsid w:val="6C9472D1"/>
    <w:rsid w:val="6D977C54"/>
    <w:rsid w:val="6DA92A14"/>
    <w:rsid w:val="6DF79418"/>
    <w:rsid w:val="6EEF5E71"/>
    <w:rsid w:val="6EF014DA"/>
    <w:rsid w:val="6F190F9A"/>
    <w:rsid w:val="6FBB3ED0"/>
    <w:rsid w:val="6FFE30CC"/>
    <w:rsid w:val="71BC5E12"/>
    <w:rsid w:val="71E371B8"/>
    <w:rsid w:val="72371D62"/>
    <w:rsid w:val="72622208"/>
    <w:rsid w:val="729D4CA5"/>
    <w:rsid w:val="739DA33B"/>
    <w:rsid w:val="743F668C"/>
    <w:rsid w:val="7597646E"/>
    <w:rsid w:val="75C77309"/>
    <w:rsid w:val="75FF3364"/>
    <w:rsid w:val="762C5158"/>
    <w:rsid w:val="763C5295"/>
    <w:rsid w:val="76A6427D"/>
    <w:rsid w:val="78320EC2"/>
    <w:rsid w:val="7B6A4641"/>
    <w:rsid w:val="7BDD8675"/>
    <w:rsid w:val="7C9103DA"/>
    <w:rsid w:val="7D061E81"/>
    <w:rsid w:val="7D3119E1"/>
    <w:rsid w:val="7D7DB35A"/>
    <w:rsid w:val="7DB7B16E"/>
    <w:rsid w:val="7DF73331"/>
    <w:rsid w:val="7E2E0A3E"/>
    <w:rsid w:val="7EFE9077"/>
    <w:rsid w:val="7F3B50BA"/>
    <w:rsid w:val="7F7A523A"/>
    <w:rsid w:val="7F7B1E8E"/>
    <w:rsid w:val="7FFAF4F6"/>
    <w:rsid w:val="7FFDF85E"/>
    <w:rsid w:val="9CBEEE59"/>
    <w:rsid w:val="ABDFA5FC"/>
    <w:rsid w:val="B32F05D3"/>
    <w:rsid w:val="BDD7BAA8"/>
    <w:rsid w:val="BDFE070E"/>
    <w:rsid w:val="BE995EA1"/>
    <w:rsid w:val="BEDFA6C0"/>
    <w:rsid w:val="C9FF7956"/>
    <w:rsid w:val="CAFBE601"/>
    <w:rsid w:val="CDEF1639"/>
    <w:rsid w:val="DF6ED8CF"/>
    <w:rsid w:val="DF773EB6"/>
    <w:rsid w:val="DFCFA884"/>
    <w:rsid w:val="DFFF9ED9"/>
    <w:rsid w:val="E37B87EB"/>
    <w:rsid w:val="E7FFF3E0"/>
    <w:rsid w:val="EB7E53FB"/>
    <w:rsid w:val="EDFFF7D5"/>
    <w:rsid w:val="F2FF0020"/>
    <w:rsid w:val="F67F0738"/>
    <w:rsid w:val="F6DCFA44"/>
    <w:rsid w:val="F7DE178D"/>
    <w:rsid w:val="F7EA6A46"/>
    <w:rsid w:val="FAF35A12"/>
    <w:rsid w:val="FB79585C"/>
    <w:rsid w:val="FBB6F41F"/>
    <w:rsid w:val="FCBD6C6E"/>
    <w:rsid w:val="FDDD0444"/>
    <w:rsid w:val="FDFF331B"/>
    <w:rsid w:val="FEE74657"/>
    <w:rsid w:val="FFCF05E7"/>
    <w:rsid w:val="FFFF7DD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0"/>
    <w:pPr>
      <w:spacing w:before="0" w:beforeAutospacing="0" w:after="0" w:afterAutospacing="0"/>
      <w:ind w:firstLine="880" w:firstLineChars="200"/>
      <w:jc w:val="both"/>
      <w:outlineLvl w:val="1"/>
    </w:pPr>
    <w:rPr>
      <w:rFonts w:hint="eastAsia" w:ascii="Times New Roman" w:hAnsi="Times New Roman" w:eastAsia="楷体" w:cs="Times New Roman"/>
      <w:b/>
      <w:kern w:val="0"/>
      <w:szCs w:val="36"/>
      <w:lang w:bidi="ar"/>
    </w:rPr>
  </w:style>
  <w:style w:type="paragraph" w:styleId="3">
    <w:name w:val="heading 3"/>
    <w:basedOn w:val="1"/>
    <w:next w:val="1"/>
    <w:link w:val="13"/>
    <w:qFormat/>
    <w:uiPriority w:val="0"/>
    <w:pPr>
      <w:widowControl/>
      <w:spacing w:before="100" w:beforeAutospacing="1" w:after="100" w:afterAutospacing="1"/>
      <w:jc w:val="left"/>
      <w:outlineLvl w:val="2"/>
    </w:pPr>
    <w:rPr>
      <w:rFonts w:hint="eastAsia" w:ascii="宋体" w:hAnsi="宋体"/>
      <w:b/>
      <w:sz w:val="27"/>
      <w:szCs w:val="20"/>
    </w:rPr>
  </w:style>
  <w:style w:type="character" w:default="1" w:styleId="11">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alloon Text"/>
    <w:basedOn w:val="1"/>
    <w:link w:val="14"/>
    <w:qFormat/>
    <w:uiPriority w:val="0"/>
    <w:rPr>
      <w:sz w:val="18"/>
      <w:szCs w:val="18"/>
    </w:rPr>
  </w:style>
  <w:style w:type="paragraph" w:styleId="6">
    <w:name w:val="footer"/>
    <w:basedOn w:val="1"/>
    <w:link w:val="15"/>
    <w:qFormat/>
    <w:uiPriority w:val="99"/>
    <w:pPr>
      <w:tabs>
        <w:tab w:val="center" w:pos="4153"/>
        <w:tab w:val="right" w:pos="8306"/>
      </w:tabs>
      <w:snapToGrid w:val="0"/>
      <w:jc w:val="left"/>
    </w:pPr>
    <w:rPr>
      <w:sz w:val="18"/>
      <w:szCs w:val="18"/>
    </w:rPr>
  </w:style>
  <w:style w:type="paragraph" w:styleId="7">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100" w:beforeAutospacing="1" w:after="100" w:afterAutospacing="1"/>
      <w:ind w:left="0" w:right="0"/>
      <w:jc w:val="left"/>
    </w:pPr>
    <w:rPr>
      <w:kern w:val="0"/>
      <w:sz w:val="24"/>
      <w:lang w:val="en-US" w:eastAsia="zh-CN" w:bidi="ar"/>
    </w:rPr>
  </w:style>
  <w:style w:type="table" w:styleId="10">
    <w:name w:val="Table Grid"/>
    <w:basedOn w:val="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annotation reference"/>
    <w:basedOn w:val="11"/>
    <w:qFormat/>
    <w:uiPriority w:val="0"/>
    <w:rPr>
      <w:sz w:val="21"/>
      <w:szCs w:val="21"/>
    </w:rPr>
  </w:style>
  <w:style w:type="character" w:customStyle="1" w:styleId="13">
    <w:name w:val="标题 3 Char"/>
    <w:basedOn w:val="11"/>
    <w:link w:val="3"/>
    <w:qFormat/>
    <w:uiPriority w:val="0"/>
    <w:rPr>
      <w:rFonts w:ascii="宋体" w:hAnsi="宋体"/>
      <w:b/>
      <w:kern w:val="2"/>
      <w:sz w:val="27"/>
    </w:rPr>
  </w:style>
  <w:style w:type="character" w:customStyle="1" w:styleId="14">
    <w:name w:val="批注框文本 Char"/>
    <w:basedOn w:val="11"/>
    <w:link w:val="5"/>
    <w:qFormat/>
    <w:uiPriority w:val="0"/>
    <w:rPr>
      <w:kern w:val="2"/>
      <w:sz w:val="18"/>
      <w:szCs w:val="18"/>
    </w:rPr>
  </w:style>
  <w:style w:type="character" w:customStyle="1" w:styleId="15">
    <w:name w:val="页脚 Char"/>
    <w:basedOn w:val="11"/>
    <w:link w:val="6"/>
    <w:qFormat/>
    <w:uiPriority w:val="99"/>
    <w:rPr>
      <w:kern w:val="2"/>
      <w:sz w:val="18"/>
      <w:szCs w:val="18"/>
    </w:rPr>
  </w:style>
  <w:style w:type="character" w:customStyle="1" w:styleId="16">
    <w:name w:val="页眉 Char"/>
    <w:basedOn w:val="11"/>
    <w:link w:val="7"/>
    <w:qFormat/>
    <w:uiPriority w:val="0"/>
    <w:rPr>
      <w:kern w:val="2"/>
      <w:sz w:val="18"/>
      <w:szCs w:val="18"/>
    </w:rPr>
  </w:style>
  <w:style w:type="paragraph" w:styleId="17">
    <w:name w:val="List Paragraph"/>
    <w:basedOn w:val="1"/>
    <w:unhideWhenUsed/>
    <w:qFormat/>
    <w:uiPriority w:val="99"/>
    <w:pPr>
      <w:ind w:firstLine="420" w:firstLineChars="200"/>
    </w:pPr>
  </w:style>
  <w:style w:type="paragraph" w:customStyle="1" w:styleId="18">
    <w:name w:val="msolistparagraph"/>
    <w:basedOn w:val="1"/>
    <w:qFormat/>
    <w:uiPriority w:val="0"/>
    <w:pPr>
      <w:ind w:firstLine="420" w:firstLineChars="200"/>
    </w:pPr>
    <w:rPr>
      <w:rFonts w:ascii="Calibri" w:hAnsi="Calibri" w:eastAsia="宋体" w:cs="Times New Roman"/>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Chinese ORG</Company>
  <Pages>7</Pages>
  <Words>5388</Words>
  <Characters>5809</Characters>
  <Lines>45</Lines>
  <Paragraphs>12</Paragraphs>
  <TotalTime>0</TotalTime>
  <ScaleCrop>false</ScaleCrop>
  <LinksUpToDate>false</LinksUpToDate>
  <CharactersWithSpaces>6096</CharactersWithSpaces>
  <Application>WPS Office_11.8.2.11764_F1E327BC-269C-435d-A152-05C5408002CA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2021-04-19T15:21:00Z</dcterms:created>
  <dc:creator>刘妍彤</dc:creator>
  <cp:lastModifiedBy>WANGQW</cp:lastModifiedBy>
  <cp:lastPrinted>2021-04-18T18:03:00Z</cp:lastPrinted>
  <dcterms:modified xsi:type="dcterms:W3CDTF">2024-05-14T16:12:10Z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ICV">
    <vt:lpwstr>921F8A79F5673E08C0084366FA460EA6</vt:lpwstr>
  </property>
</Properties>
</file>