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val="0"/>
        <w:spacing w:beforeLines="200" w:beforeAutospacing="0" w:afterLines="100" w:afterAutospacing="0" w:line="560" w:lineRule="exact"/>
        <w:ind w:firstLine="420"/>
        <w:jc w:val="center"/>
        <w:textAlignment w:val="auto"/>
        <w:rPr>
          <w:rFonts w:hint="eastAsia" w:ascii="方正小标宋简体" w:hAnsi="华文中宋" w:eastAsia="方正小标宋简体" w:cs="黑体"/>
          <w:b w:val="0"/>
          <w:bCs/>
          <w:sz w:val="44"/>
          <w:szCs w:val="44"/>
          <w:lang w:eastAsia="zh-CN"/>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度</w:t>
      </w:r>
      <w:r>
        <w:rPr>
          <w:rFonts w:hint="eastAsia" w:ascii="方正小标宋简体" w:hAnsi="方正小标宋简体" w:eastAsia="方正小标宋简体" w:cs="方正小标宋简体"/>
          <w:b w:val="0"/>
          <w:bCs w:val="0"/>
          <w:sz w:val="44"/>
          <w:szCs w:val="44"/>
        </w:rPr>
        <w:t>知识产权培训资助</w:t>
      </w:r>
      <w:r>
        <w:rPr>
          <w:rFonts w:hint="eastAsia" w:ascii="方正小标宋简体" w:hAnsi="方正小标宋简体" w:eastAsia="方正小标宋简体" w:cs="方正小标宋简体"/>
          <w:b w:val="0"/>
          <w:bCs w:val="0"/>
          <w:sz w:val="44"/>
          <w:szCs w:val="44"/>
        </w:rPr>
        <w:br w:type="textWrapping"/>
      </w:r>
      <w:r>
        <w:rPr>
          <w:rFonts w:hint="eastAsia" w:ascii="方正小标宋简体" w:hAnsi="方正小标宋简体" w:eastAsia="方正小标宋简体" w:cs="方正小标宋简体"/>
          <w:b w:val="0"/>
          <w:bCs w:val="0"/>
          <w:sz w:val="44"/>
          <w:szCs w:val="44"/>
        </w:rPr>
        <w:t>申报指南</w:t>
      </w:r>
    </w:p>
    <w:p>
      <w:pPr>
        <w:pStyle w:val="17"/>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申报内容</w:t>
      </w:r>
    </w:p>
    <w:p>
      <w:pPr>
        <w:numPr>
          <w:ilvl w:val="0"/>
          <w:numId w:val="0"/>
        </w:numPr>
        <w:snapToGrid w:val="0"/>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eastAsia="zh-CN"/>
        </w:rPr>
        <w:t>度</w:t>
      </w:r>
      <w:r>
        <w:rPr>
          <w:rFonts w:hint="eastAsia" w:ascii="仿宋_GB2312" w:hAnsi="仿宋_GB2312" w:eastAsia="仿宋_GB2312" w:cs="仿宋_GB2312"/>
          <w:bCs/>
          <w:sz w:val="32"/>
          <w:szCs w:val="32"/>
        </w:rPr>
        <w:t>知识产权培训资助</w:t>
      </w:r>
      <w:bookmarkStart w:id="0" w:name="_GoBack"/>
      <w:bookmarkEnd w:id="0"/>
      <w:r>
        <w:rPr>
          <w:rFonts w:hint="eastAsia" w:ascii="仿宋_GB2312" w:eastAsia="仿宋_GB2312"/>
          <w:sz w:val="32"/>
          <w:szCs w:val="32"/>
          <w:lang w:val="en-US" w:eastAsia="zh-CN"/>
        </w:rPr>
        <w:t>。</w:t>
      </w:r>
    </w:p>
    <w:p>
      <w:pPr>
        <w:pStyle w:val="17"/>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设定依据</w:t>
      </w:r>
    </w:p>
    <w:p>
      <w:pPr>
        <w:numPr>
          <w:ilvl w:val="0"/>
          <w:numId w:val="0"/>
        </w:numPr>
        <w:snapToGrid w:val="0"/>
        <w:spacing w:line="560"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（一）《深圳市市场监督管理局专项资金管理办法》</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深市监规〔2020〕3号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p>
    <w:p>
      <w:pPr>
        <w:numPr>
          <w:ilvl w:val="0"/>
          <w:numId w:val="0"/>
        </w:numPr>
        <w:snapToGrid w:val="0"/>
        <w:spacing w:line="560"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（二）《深圳市市场监督管理局知识产权领域专项资金操作规程》</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深市监规〔20</w:t>
      </w:r>
      <w:r>
        <w:rPr>
          <w:rFonts w:hint="eastAsia" w:ascii="仿宋_GB2312" w:eastAsia="仿宋_GB2312"/>
          <w:sz w:val="32"/>
          <w:szCs w:val="32"/>
          <w:highlight w:val="none"/>
          <w:lang w:val="en-US" w:eastAsia="zh-CN"/>
        </w:rPr>
        <w:t>24</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p>
    <w:p>
      <w:pPr>
        <w:pStyle w:val="17"/>
        <w:numPr>
          <w:ilvl w:val="0"/>
          <w:numId w:val="1"/>
        </w:numPr>
        <w:snapToGrid w:val="0"/>
        <w:spacing w:line="560" w:lineRule="exact"/>
        <w:ind w:left="1361" w:firstLineChars="0"/>
        <w:rPr>
          <w:rFonts w:ascii="黑体" w:hAnsi="黑体" w:eastAsia="黑体"/>
          <w:sz w:val="32"/>
          <w:szCs w:val="32"/>
          <w:highlight w:val="none"/>
        </w:rPr>
      </w:pPr>
      <w:r>
        <w:rPr>
          <w:rFonts w:hint="eastAsia" w:ascii="黑体" w:hAnsi="黑体" w:eastAsia="黑体"/>
          <w:sz w:val="32"/>
          <w:szCs w:val="32"/>
          <w:highlight w:val="none"/>
        </w:rPr>
        <w:t>资助</w:t>
      </w:r>
      <w:r>
        <w:rPr>
          <w:rFonts w:hint="eastAsia" w:ascii="黑体" w:hAnsi="黑体" w:eastAsia="黑体"/>
          <w:sz w:val="32"/>
          <w:szCs w:val="32"/>
          <w:highlight w:val="none"/>
          <w:lang w:eastAsia="zh-CN"/>
        </w:rPr>
        <w:t>标准</w:t>
      </w:r>
      <w:r>
        <w:rPr>
          <w:rFonts w:ascii="黑体" w:hAnsi="黑体" w:eastAsia="黑体"/>
          <w:sz w:val="32"/>
          <w:szCs w:val="32"/>
          <w:highlight w:val="none"/>
        </w:rPr>
        <w:t xml:space="preserve"> </w:t>
      </w:r>
    </w:p>
    <w:p>
      <w:pPr>
        <w:adjustRightInd w:val="0"/>
        <w:snapToGrid w:val="0"/>
        <w:spacing w:line="600"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b w:val="0"/>
          <w:bCs w:val="0"/>
          <w:sz w:val="32"/>
          <w:szCs w:val="32"/>
          <w:highlight w:val="none"/>
        </w:rPr>
        <w:t>每项培训按照实际支出成本资助不超过20万</w:t>
      </w:r>
      <w:r>
        <w:rPr>
          <w:rFonts w:hint="eastAsia" w:ascii="仿宋_GB2312" w:hAnsi="仿宋_GB2312" w:eastAsia="仿宋_GB2312" w:cs="仿宋_GB2312"/>
          <w:b w:val="0"/>
          <w:bCs w:val="0"/>
          <w:sz w:val="32"/>
          <w:szCs w:val="32"/>
        </w:rPr>
        <w:t>元，该项目每年资助总额不超过500万元。同一申请人每年可以申报最多2个项目。</w:t>
      </w:r>
    </w:p>
    <w:p>
      <w:pPr>
        <w:pStyle w:val="17"/>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申请条件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sz w:val="32"/>
          <w:szCs w:val="32"/>
        </w:rPr>
        <w:t>申请人应当同时符合下列条件</w:t>
      </w:r>
      <w:r>
        <w:rPr>
          <w:rFonts w:hint="eastAsia" w:ascii="仿宋_GB2312" w:hAnsi="仿宋_GB2312" w:eastAsia="仿宋_GB2312" w:cs="仿宋_GB2312"/>
          <w:b w:val="0"/>
          <w:bCs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（一）申请人属于依法登记注册的企事业单位、社会组织或者其他机构；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（二）在深圳市从事生产经营活动，且在深圳市拥有稳定办公场所；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在深圳市行政区域内开展知识产权培训，或以线上形式组织开展面向深圳市企事业单位或相关从业人员、社会公众的知识产权培训，培训的主题应为国内外知识产权创造、运用、保护、管理、服务等方面相关内容，符合深圳市知识产权主管部门发布的课程培训重点主题清单要求的项目予以优先考虑；</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（四）培训已完成的，完成时间应在上年度1月1日之后；培训项目在实施中或策划中的，申请人需具备组织知识产权培训活动的专业人员团队、相关工作能力及活动开展的其他必要条件，并承诺在</w:t>
      </w:r>
      <w:r>
        <w:rPr>
          <w:rFonts w:hint="eastAsia" w:ascii="仿宋_GB2312" w:hAnsi="仿宋_GB2312" w:eastAsia="仿宋_GB2312" w:cs="仿宋_GB2312"/>
          <w:b w:val="0"/>
          <w:bCs w:val="0"/>
          <w:sz w:val="32"/>
          <w:szCs w:val="32"/>
          <w:lang w:eastAsia="zh-CN"/>
        </w:rPr>
        <w:t>合同</w:t>
      </w:r>
      <w:r>
        <w:rPr>
          <w:rFonts w:hint="eastAsia" w:ascii="仿宋_GB2312" w:hAnsi="仿宋_GB2312" w:eastAsia="仿宋_GB2312" w:cs="仿宋_GB2312"/>
          <w:b w:val="0"/>
          <w:bCs w:val="0"/>
          <w:sz w:val="32"/>
          <w:szCs w:val="32"/>
        </w:rPr>
        <w:t>期限内完成培训计划；</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val="0"/>
          <w:bCs w:val="0"/>
          <w:sz w:val="32"/>
          <w:szCs w:val="32"/>
        </w:rPr>
        <w:t>（五）培训属于非盈利性质，免费向深圳企事业单位及相关社会公众提供。</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不予资助的情形</w:t>
      </w:r>
    </w:p>
    <w:p>
      <w:pPr>
        <w:snapToGrid w:val="0"/>
        <w:spacing w:line="560" w:lineRule="exact"/>
        <w:ind w:firstLine="640" w:firstLineChars="200"/>
        <w:rPr>
          <w:rFonts w:eastAsia="仿宋_GB2312"/>
          <w:b/>
          <w:sz w:val="32"/>
        </w:rPr>
      </w:pPr>
      <w:r>
        <w:rPr>
          <w:rFonts w:hint="eastAsia" w:ascii="仿宋_GB2312" w:hAnsi="仿宋_GB2312" w:eastAsia="仿宋_GB2312" w:cs="仿宋_GB2312"/>
          <w:sz w:val="32"/>
          <w:szCs w:val="32"/>
        </w:rPr>
        <w:t>申请人存在下列情形之一的，不予资助：</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（一）不符合相关法律、法规、规章、专项资金管理办法、专项资金操作规程有关要求的；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（二）经查询深圳市信用网，依法依规被纳入严重失信主体名单的；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）所申请项目已经获得市级同类资助或者奖励的；</w:t>
      </w:r>
    </w:p>
    <w:p>
      <w:pPr>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）申请人主体已经消亡，或者进入破产清算程序的。</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申请材料</w:t>
      </w:r>
    </w:p>
    <w:p>
      <w:pPr>
        <w:pStyle w:val="17"/>
        <w:numPr>
          <w:ilvl w:val="0"/>
          <w:numId w:val="2"/>
        </w:numPr>
        <w:snapToGrid w:val="0"/>
        <w:spacing w:line="560" w:lineRule="exact"/>
        <w:ind w:left="0" w:firstLine="643"/>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申请表</w:t>
      </w:r>
    </w:p>
    <w:p>
      <w:pPr>
        <w:snapToGrid w:val="0"/>
        <w:spacing w:line="560"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rPr>
        <w:t>在申报</w:t>
      </w:r>
      <w:r>
        <w:rPr>
          <w:rFonts w:hint="eastAsia" w:ascii="仿宋_GB2312" w:eastAsia="仿宋_GB2312"/>
          <w:sz w:val="32"/>
          <w:szCs w:val="32"/>
          <w:highlight w:val="none"/>
        </w:rPr>
        <w:t>系统上在线填写项目申报信息。</w:t>
      </w:r>
    </w:p>
    <w:p>
      <w:pPr>
        <w:pStyle w:val="17"/>
        <w:numPr>
          <w:ilvl w:val="0"/>
          <w:numId w:val="2"/>
        </w:numPr>
        <w:snapToGrid w:val="0"/>
        <w:spacing w:line="560" w:lineRule="exact"/>
        <w:ind w:left="0" w:firstLine="643"/>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培训师资的相关材料</w:t>
      </w:r>
    </w:p>
    <w:p>
      <w:pPr>
        <w:pStyle w:val="17"/>
        <w:numPr>
          <w:ilvl w:val="0"/>
          <w:numId w:val="0"/>
        </w:numPr>
        <w:tabs>
          <w:tab w:val="left" w:pos="1134"/>
        </w:tabs>
        <w:snapToGrid w:val="0"/>
        <w:spacing w:line="560" w:lineRule="exact"/>
        <w:ind w:left="0" w:leftChars="0"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提交培训师资名单（系统模板）及相关佐证</w:t>
      </w:r>
      <w:r>
        <w:rPr>
          <w:rFonts w:hint="eastAsia" w:ascii="仿宋_GB2312" w:eastAsia="仿宋_GB2312"/>
          <w:sz w:val="32"/>
          <w:szCs w:val="32"/>
          <w:highlight w:val="none"/>
        </w:rPr>
        <w:t>材料</w:t>
      </w:r>
      <w:r>
        <w:rPr>
          <w:rFonts w:hint="eastAsia" w:ascii="仿宋_GB2312" w:eastAsia="仿宋_GB2312"/>
          <w:sz w:val="32"/>
          <w:szCs w:val="32"/>
          <w:highlight w:val="none"/>
          <w:lang w:eastAsia="zh-CN"/>
        </w:rPr>
        <w:t>，包括但不限于：授课老师</w:t>
      </w:r>
      <w:r>
        <w:rPr>
          <w:rFonts w:hint="eastAsia" w:ascii="仿宋_GB2312" w:eastAsia="仿宋_GB2312"/>
          <w:sz w:val="32"/>
          <w:szCs w:val="32"/>
          <w:highlight w:val="none"/>
        </w:rPr>
        <w:t>专业资格职称</w:t>
      </w:r>
      <w:r>
        <w:rPr>
          <w:rFonts w:hint="eastAsia" w:ascii="仿宋_GB2312" w:eastAsia="仿宋_GB2312"/>
          <w:sz w:val="32"/>
          <w:szCs w:val="32"/>
          <w:highlight w:val="none"/>
          <w:lang w:eastAsia="zh-CN"/>
        </w:rPr>
        <w:t>及所获荣誉的佐证材料（如有）</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被聘为市级以上知识产权专家库成员的佐证材料（聘书、主管部门官网发布的专家库名单截图等）、</w:t>
      </w:r>
      <w:r>
        <w:rPr>
          <w:rFonts w:hint="default" w:ascii="仿宋_GB2312" w:eastAsia="仿宋_GB2312"/>
          <w:sz w:val="32"/>
          <w:szCs w:val="32"/>
          <w:highlight w:val="none"/>
          <w:lang w:eastAsia="zh-CN"/>
        </w:rPr>
        <w:t>具有</w:t>
      </w:r>
      <w:r>
        <w:rPr>
          <w:rFonts w:hint="eastAsia" w:ascii="仿宋_GB2312" w:eastAsia="仿宋_GB2312"/>
          <w:sz w:val="32"/>
          <w:szCs w:val="32"/>
          <w:highlight w:val="none"/>
        </w:rPr>
        <w:t>境外律师执业资格并代理过知识产权诉讼</w:t>
      </w:r>
      <w:r>
        <w:rPr>
          <w:rFonts w:hint="default" w:ascii="仿宋_GB2312" w:eastAsia="仿宋_GB2312"/>
          <w:sz w:val="32"/>
          <w:szCs w:val="32"/>
          <w:highlight w:val="none"/>
        </w:rPr>
        <w:t>的佐证材料（相关资格证扫描件、个人简历等）、具有丰富知识产权从业经验的佐证材料（个人简历等）</w:t>
      </w:r>
      <w:r>
        <w:rPr>
          <w:rFonts w:hint="eastAsia" w:ascii="仿宋_GB2312" w:eastAsia="仿宋_GB2312"/>
          <w:sz w:val="32"/>
          <w:szCs w:val="32"/>
          <w:highlight w:val="none"/>
          <w:lang w:eastAsia="zh-CN"/>
        </w:rPr>
        <w:t>。</w:t>
      </w:r>
    </w:p>
    <w:p>
      <w:pPr>
        <w:pStyle w:val="17"/>
        <w:numPr>
          <w:ilvl w:val="0"/>
          <w:numId w:val="2"/>
        </w:numPr>
        <w:snapToGrid w:val="0"/>
        <w:spacing w:line="560" w:lineRule="exact"/>
        <w:ind w:left="0" w:firstLine="643"/>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培训总结及相关材料</w:t>
      </w:r>
    </w:p>
    <w:p>
      <w:pPr>
        <w:pStyle w:val="17"/>
        <w:numPr>
          <w:ilvl w:val="0"/>
          <w:numId w:val="0"/>
        </w:numPr>
        <w:tabs>
          <w:tab w:val="left" w:pos="1134"/>
        </w:tabs>
        <w:snapToGrid w:val="0"/>
        <w:spacing w:line="560" w:lineRule="exact"/>
        <w:ind w:left="0" w:leftChars="0" w:firstLine="640"/>
        <w:jc w:val="left"/>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eastAsia="zh-CN"/>
        </w:rPr>
        <w:t>培训已完成的，需提交培训活动总结（含培训目的、</w:t>
      </w:r>
      <w:r>
        <w:rPr>
          <w:rFonts w:hint="eastAsia" w:ascii="仿宋_GB2312" w:eastAsia="仿宋_GB2312" w:cs="Times New Roman"/>
          <w:b w:val="0"/>
          <w:bCs w:val="0"/>
          <w:sz w:val="32"/>
          <w:szCs w:val="32"/>
          <w:highlight w:val="none"/>
          <w:lang w:eastAsia="zh-CN"/>
        </w:rPr>
        <w:t>时间、地点、</w:t>
      </w:r>
      <w:r>
        <w:rPr>
          <w:rFonts w:hint="eastAsia" w:ascii="仿宋_GB2312" w:hAnsi="Times New Roman" w:eastAsia="仿宋_GB2312" w:cs="Times New Roman"/>
          <w:b w:val="0"/>
          <w:bCs w:val="0"/>
          <w:sz w:val="32"/>
          <w:szCs w:val="32"/>
          <w:highlight w:val="none"/>
          <w:lang w:eastAsia="zh-CN"/>
        </w:rPr>
        <w:t>对象、内容、效果等）、相关材料（公开的培训通知、符合培训课时和人数要求的签到表、培训讲师签字的培训工作总结、讲师劳务费支出凭证、培训现场照片等）</w:t>
      </w:r>
      <w:r>
        <w:rPr>
          <w:rFonts w:hint="eastAsia" w:ascii="仿宋_GB2312" w:eastAsia="仿宋_GB2312" w:cs="Times New Roman"/>
          <w:b w:val="0"/>
          <w:bCs w:val="0"/>
          <w:sz w:val="32"/>
          <w:szCs w:val="32"/>
          <w:highlight w:val="none"/>
          <w:lang w:eastAsia="zh-CN"/>
        </w:rPr>
        <w:t>，培训未完成的无需提交此项</w:t>
      </w:r>
      <w:r>
        <w:rPr>
          <w:rFonts w:hint="eastAsia" w:ascii="仿宋_GB2312" w:hAnsi="Times New Roman" w:eastAsia="仿宋_GB2312" w:cs="Times New Roman"/>
          <w:b w:val="0"/>
          <w:bCs w:val="0"/>
          <w:sz w:val="32"/>
          <w:szCs w:val="32"/>
          <w:highlight w:val="none"/>
          <w:lang w:eastAsia="zh-CN"/>
        </w:rPr>
        <w:t>；</w:t>
      </w:r>
    </w:p>
    <w:p>
      <w:pPr>
        <w:pStyle w:val="17"/>
        <w:numPr>
          <w:ilvl w:val="0"/>
          <w:numId w:val="2"/>
        </w:numPr>
        <w:snapToGrid w:val="0"/>
        <w:spacing w:line="560" w:lineRule="exact"/>
        <w:ind w:left="0" w:firstLine="643"/>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培训方案及相关材料</w:t>
      </w:r>
    </w:p>
    <w:p>
      <w:pPr>
        <w:pStyle w:val="17"/>
        <w:numPr>
          <w:ilvl w:val="0"/>
          <w:numId w:val="0"/>
        </w:numPr>
        <w:tabs>
          <w:tab w:val="left" w:pos="1134"/>
        </w:tabs>
        <w:snapToGrid w:val="0"/>
        <w:spacing w:line="560" w:lineRule="exact"/>
        <w:ind w:left="0" w:leftChars="0" w:firstLine="640"/>
        <w:jc w:val="left"/>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eastAsia="zh-CN"/>
        </w:rPr>
        <w:t>培训在实施中或策划中的，需提供工作方案、课程设置方案以及具有组织知识产权培训活动的专业人员团队、相关工作能力及活动开展的其他必要条件的相关材料，培训</w:t>
      </w:r>
      <w:r>
        <w:rPr>
          <w:rFonts w:hint="eastAsia" w:ascii="仿宋_GB2312" w:eastAsia="仿宋_GB2312" w:cs="Times New Roman"/>
          <w:b w:val="0"/>
          <w:bCs w:val="0"/>
          <w:sz w:val="32"/>
          <w:szCs w:val="32"/>
          <w:highlight w:val="none"/>
          <w:lang w:eastAsia="zh-CN"/>
        </w:rPr>
        <w:t>已</w:t>
      </w:r>
      <w:r>
        <w:rPr>
          <w:rFonts w:hint="eastAsia" w:ascii="仿宋_GB2312" w:hAnsi="Times New Roman" w:eastAsia="仿宋_GB2312" w:cs="Times New Roman"/>
          <w:b w:val="0"/>
          <w:bCs w:val="0"/>
          <w:sz w:val="32"/>
          <w:szCs w:val="32"/>
          <w:highlight w:val="none"/>
          <w:lang w:eastAsia="zh-CN"/>
        </w:rPr>
        <w:t>完成的无需提交此项。</w:t>
      </w:r>
      <w:r>
        <w:rPr>
          <w:rFonts w:hint="eastAsia" w:ascii="仿宋_GB2312" w:eastAsia="仿宋_GB2312" w:cs="Times New Roman"/>
          <w:b w:val="0"/>
          <w:bCs w:val="0"/>
          <w:sz w:val="32"/>
          <w:szCs w:val="32"/>
          <w:highlight w:val="none"/>
          <w:lang w:eastAsia="zh-CN"/>
        </w:rPr>
        <w:t>具体包括以下内容：</w:t>
      </w:r>
    </w:p>
    <w:p>
      <w:pPr>
        <w:pStyle w:val="17"/>
        <w:numPr>
          <w:ilvl w:val="0"/>
          <w:numId w:val="0"/>
        </w:numPr>
        <w:snapToGrid w:val="0"/>
        <w:spacing w:line="560" w:lineRule="exact"/>
        <w:ind w:left="0" w:leftChars="0" w:firstLine="642" w:firstLineChars="200"/>
        <w:jc w:val="left"/>
        <w:rPr>
          <w:rFonts w:hint="eastAsia" w:ascii="仿宋_GB2312" w:eastAsia="仿宋_GB2312" w:cs="Times New Roman"/>
          <w:b/>
          <w:bCs/>
          <w:sz w:val="32"/>
          <w:szCs w:val="32"/>
          <w:highlight w:val="none"/>
          <w:lang w:val="en-US" w:eastAsia="zh-CN"/>
        </w:rPr>
      </w:pPr>
      <w:r>
        <w:rPr>
          <w:rFonts w:hint="eastAsia" w:ascii="仿宋_GB2312" w:eastAsia="仿宋_GB2312" w:cs="Times New Roman"/>
          <w:b/>
          <w:bCs/>
          <w:sz w:val="32"/>
          <w:szCs w:val="32"/>
          <w:highlight w:val="none"/>
          <w:lang w:val="en-US" w:eastAsia="zh-CN"/>
        </w:rPr>
        <w:t>1.工作方案</w:t>
      </w:r>
    </w:p>
    <w:p>
      <w:pPr>
        <w:pStyle w:val="17"/>
        <w:numPr>
          <w:ilvl w:val="0"/>
          <w:numId w:val="0"/>
        </w:numPr>
        <w:snapToGrid w:val="0"/>
        <w:spacing w:line="560" w:lineRule="exact"/>
        <w:ind w:left="0" w:leftChars="0"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内容包括但不限于：培训主题、</w:t>
      </w:r>
      <w:r>
        <w:rPr>
          <w:rFonts w:hint="eastAsia" w:ascii="仿宋_GB2312" w:eastAsia="仿宋_GB2312"/>
          <w:sz w:val="32"/>
          <w:szCs w:val="32"/>
          <w:highlight w:val="none"/>
          <w:lang w:eastAsia="zh-CN"/>
        </w:rPr>
        <w:t>授课内容、</w:t>
      </w:r>
      <w:r>
        <w:rPr>
          <w:rFonts w:hint="eastAsia" w:ascii="仿宋_GB2312" w:eastAsia="仿宋_GB2312"/>
          <w:sz w:val="32"/>
          <w:szCs w:val="32"/>
          <w:highlight w:val="none"/>
        </w:rPr>
        <w:t>背景意义、</w:t>
      </w:r>
      <w:r>
        <w:rPr>
          <w:rFonts w:hint="eastAsia" w:ascii="仿宋_GB2312" w:eastAsia="仿宋_GB2312"/>
          <w:sz w:val="32"/>
          <w:szCs w:val="32"/>
          <w:highlight w:val="none"/>
          <w:lang w:eastAsia="zh-CN"/>
        </w:rPr>
        <w:t>培训目的、</w:t>
      </w:r>
      <w:r>
        <w:rPr>
          <w:rFonts w:hint="eastAsia" w:ascii="仿宋_GB2312" w:eastAsia="仿宋_GB2312"/>
          <w:sz w:val="32"/>
          <w:szCs w:val="32"/>
          <w:highlight w:val="none"/>
        </w:rPr>
        <w:t>培训形式、时间地点、培训对象及</w:t>
      </w:r>
      <w:r>
        <w:rPr>
          <w:rFonts w:hint="eastAsia" w:ascii="仿宋_GB2312" w:eastAsia="仿宋_GB2312"/>
          <w:sz w:val="32"/>
          <w:szCs w:val="32"/>
          <w:highlight w:val="none"/>
          <w:lang w:eastAsia="zh-CN"/>
        </w:rPr>
        <w:t>预计</w:t>
      </w:r>
      <w:r>
        <w:rPr>
          <w:rFonts w:hint="eastAsia" w:ascii="仿宋_GB2312" w:eastAsia="仿宋_GB2312"/>
          <w:sz w:val="32"/>
          <w:szCs w:val="32"/>
          <w:highlight w:val="none"/>
        </w:rPr>
        <w:t>参训人</w:t>
      </w:r>
      <w:r>
        <w:rPr>
          <w:rFonts w:hint="eastAsia" w:ascii="仿宋_GB2312" w:eastAsia="仿宋_GB2312"/>
          <w:sz w:val="32"/>
          <w:szCs w:val="32"/>
          <w:highlight w:val="none"/>
          <w:lang w:eastAsia="zh-CN"/>
        </w:rPr>
        <w:t>次</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拟邀请的</w:t>
      </w:r>
      <w:r>
        <w:rPr>
          <w:rFonts w:hint="eastAsia" w:ascii="仿宋_GB2312" w:eastAsia="仿宋_GB2312"/>
          <w:sz w:val="32"/>
          <w:szCs w:val="32"/>
          <w:highlight w:val="none"/>
        </w:rPr>
        <w:t>授课老师名单、授课老师荣誉与职称、</w:t>
      </w:r>
      <w:r>
        <w:rPr>
          <w:rFonts w:hint="eastAsia" w:ascii="仿宋_GB2312" w:eastAsia="仿宋_GB2312"/>
          <w:sz w:val="32"/>
          <w:szCs w:val="32"/>
          <w:highlight w:val="none"/>
          <w:lang w:eastAsia="zh-CN"/>
        </w:rPr>
        <w:t>预期</w:t>
      </w:r>
      <w:r>
        <w:rPr>
          <w:rFonts w:hint="eastAsia" w:ascii="仿宋_GB2312" w:eastAsia="仿宋_GB2312"/>
          <w:sz w:val="32"/>
          <w:szCs w:val="32"/>
          <w:highlight w:val="none"/>
        </w:rPr>
        <w:t>效果</w:t>
      </w:r>
      <w:r>
        <w:rPr>
          <w:rFonts w:hint="eastAsia" w:ascii="仿宋_GB2312" w:eastAsia="仿宋_GB2312"/>
          <w:sz w:val="32"/>
          <w:szCs w:val="32"/>
          <w:highlight w:val="none"/>
          <w:lang w:eastAsia="zh-CN"/>
        </w:rPr>
        <w:t>（含定量指标与定性指标）</w:t>
      </w:r>
      <w:r>
        <w:rPr>
          <w:rFonts w:hint="eastAsia" w:ascii="仿宋_GB2312" w:eastAsia="仿宋_GB2312"/>
          <w:sz w:val="32"/>
          <w:szCs w:val="32"/>
          <w:highlight w:val="none"/>
        </w:rPr>
        <w:t>。</w:t>
      </w:r>
    </w:p>
    <w:p>
      <w:pPr>
        <w:pStyle w:val="17"/>
        <w:numPr>
          <w:ilvl w:val="0"/>
          <w:numId w:val="0"/>
        </w:numPr>
        <w:snapToGrid w:val="0"/>
        <w:spacing w:line="560" w:lineRule="exact"/>
        <w:ind w:left="0" w:leftChars="0" w:firstLine="642" w:firstLineChars="200"/>
        <w:jc w:val="left"/>
        <w:rPr>
          <w:rFonts w:hint="eastAsia" w:ascii="仿宋_GB2312" w:eastAsia="仿宋_GB2312" w:cs="Times New Roman"/>
          <w:b/>
          <w:bCs/>
          <w:sz w:val="32"/>
          <w:szCs w:val="32"/>
          <w:highlight w:val="none"/>
          <w:lang w:val="en-US" w:eastAsia="zh-CN"/>
        </w:rPr>
      </w:pPr>
      <w:r>
        <w:rPr>
          <w:rFonts w:hint="eastAsia" w:ascii="仿宋_GB2312" w:eastAsia="仿宋_GB2312" w:cs="Times New Roman"/>
          <w:b/>
          <w:bCs/>
          <w:sz w:val="32"/>
          <w:szCs w:val="32"/>
          <w:highlight w:val="none"/>
          <w:lang w:val="en-US" w:eastAsia="zh-CN"/>
        </w:rPr>
        <w:t>2.人员团队信息及相关材料</w:t>
      </w:r>
    </w:p>
    <w:p>
      <w:pPr>
        <w:pStyle w:val="17"/>
        <w:keepNext w:val="0"/>
        <w:keepLines w:val="0"/>
        <w:pageBreakBefore w:val="0"/>
        <w:widowControl w:val="0"/>
        <w:numPr>
          <w:ilvl w:val="0"/>
          <w:numId w:val="0"/>
        </w:numPr>
        <w:tabs>
          <w:tab w:val="left" w:pos="1134"/>
        </w:tabs>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highlight w:val="yellow"/>
        </w:rPr>
      </w:pPr>
      <w:r>
        <w:rPr>
          <w:rFonts w:hint="default" w:ascii="仿宋_GB2312" w:eastAsia="仿宋_GB2312"/>
          <w:sz w:val="32"/>
          <w:szCs w:val="32"/>
          <w:lang w:eastAsia="zh-CN"/>
        </w:rPr>
        <w:t>承接培训项目的团队</w:t>
      </w:r>
      <w:r>
        <w:rPr>
          <w:rFonts w:hint="eastAsia" w:ascii="仿宋_GB2312" w:eastAsia="仿宋_GB2312"/>
          <w:sz w:val="32"/>
          <w:szCs w:val="32"/>
        </w:rPr>
        <w:t>工作人员</w:t>
      </w:r>
      <w:r>
        <w:rPr>
          <w:rFonts w:hint="eastAsia" w:ascii="仿宋_GB2312" w:eastAsia="仿宋_GB2312"/>
          <w:sz w:val="32"/>
          <w:szCs w:val="32"/>
          <w:lang w:eastAsia="zh-CN"/>
        </w:rPr>
        <w:t>名单（系统模板，需注明项目联系人或项目负责人）及对应的</w:t>
      </w:r>
      <w:r>
        <w:rPr>
          <w:rFonts w:hint="eastAsia" w:ascii="仿宋_GB2312" w:eastAsia="仿宋_GB2312"/>
          <w:sz w:val="32"/>
          <w:szCs w:val="32"/>
        </w:rPr>
        <w:t>人员能力相关材料</w:t>
      </w:r>
      <w:r>
        <w:rPr>
          <w:rFonts w:hint="eastAsia" w:ascii="仿宋_GB2312" w:eastAsia="仿宋_GB2312"/>
          <w:sz w:val="32"/>
          <w:szCs w:val="32"/>
          <w:lang w:eastAsia="zh-CN"/>
        </w:rPr>
        <w:t>，包括但不限于：</w:t>
      </w:r>
      <w:r>
        <w:rPr>
          <w:rFonts w:hint="eastAsia" w:ascii="仿宋_GB2312" w:eastAsia="仿宋_GB2312"/>
          <w:sz w:val="32"/>
          <w:szCs w:val="32"/>
        </w:rPr>
        <w:t>学历或学位证</w:t>
      </w:r>
      <w:r>
        <w:rPr>
          <w:rFonts w:hint="eastAsia" w:ascii="仿宋_GB2312" w:eastAsia="仿宋_GB2312"/>
          <w:sz w:val="32"/>
          <w:szCs w:val="32"/>
          <w:lang w:eastAsia="zh-CN"/>
        </w:rPr>
        <w:t>书</w:t>
      </w:r>
      <w:r>
        <w:rPr>
          <w:rFonts w:hint="eastAsia" w:ascii="仿宋_GB2312" w:eastAsia="仿宋_GB2312"/>
          <w:sz w:val="32"/>
          <w:szCs w:val="32"/>
        </w:rPr>
        <w:t>、专业资格职称</w:t>
      </w:r>
      <w:r>
        <w:rPr>
          <w:rFonts w:hint="eastAsia" w:ascii="仿宋_GB2312" w:eastAsia="仿宋_GB2312"/>
          <w:sz w:val="32"/>
          <w:szCs w:val="32"/>
          <w:lang w:eastAsia="zh-CN"/>
        </w:rPr>
        <w:t>情况（如有）、</w:t>
      </w:r>
      <w:r>
        <w:rPr>
          <w:rFonts w:hint="eastAsia" w:ascii="仿宋_GB2312" w:eastAsia="仿宋_GB2312"/>
          <w:sz w:val="32"/>
          <w:szCs w:val="32"/>
        </w:rPr>
        <w:t>知识产权工作经历</w:t>
      </w:r>
      <w:r>
        <w:rPr>
          <w:rFonts w:hint="eastAsia" w:ascii="仿宋_GB2312" w:eastAsia="仿宋_GB2312"/>
          <w:sz w:val="32"/>
          <w:szCs w:val="32"/>
          <w:lang w:eastAsia="zh-CN"/>
        </w:rPr>
        <w:t>证明、相关</w:t>
      </w:r>
      <w:r>
        <w:rPr>
          <w:rFonts w:hint="eastAsia" w:ascii="仿宋_GB2312" w:eastAsia="仿宋_GB2312"/>
          <w:sz w:val="32"/>
          <w:szCs w:val="32"/>
        </w:rPr>
        <w:t>证书等</w:t>
      </w:r>
      <w:r>
        <w:rPr>
          <w:rFonts w:hint="eastAsia" w:ascii="仿宋_GB2312" w:eastAsia="仿宋_GB2312"/>
          <w:sz w:val="32"/>
          <w:szCs w:val="32"/>
          <w:lang w:eastAsia="zh-CN"/>
        </w:rPr>
        <w:t>。</w:t>
      </w:r>
    </w:p>
    <w:p>
      <w:pPr>
        <w:pStyle w:val="17"/>
        <w:numPr>
          <w:ilvl w:val="0"/>
          <w:numId w:val="0"/>
        </w:numPr>
        <w:snapToGrid w:val="0"/>
        <w:spacing w:line="560" w:lineRule="exact"/>
        <w:ind w:left="0" w:leftChars="0" w:firstLine="642" w:firstLineChars="200"/>
        <w:jc w:val="left"/>
        <w:rPr>
          <w:rFonts w:hint="eastAsia" w:ascii="仿宋_GB2312" w:eastAsia="仿宋_GB2312" w:cs="Times New Roman"/>
          <w:b/>
          <w:bCs/>
          <w:sz w:val="32"/>
          <w:szCs w:val="32"/>
          <w:highlight w:val="none"/>
          <w:lang w:val="en-US" w:eastAsia="zh-CN"/>
        </w:rPr>
      </w:pPr>
      <w:r>
        <w:rPr>
          <w:rFonts w:hint="eastAsia" w:ascii="仿宋_GB2312" w:eastAsia="仿宋_GB2312" w:cs="Times New Roman"/>
          <w:b/>
          <w:bCs/>
          <w:sz w:val="32"/>
          <w:szCs w:val="32"/>
          <w:highlight w:val="none"/>
          <w:lang w:val="en-US" w:eastAsia="zh-CN"/>
        </w:rPr>
        <w:t>3.经费测算明细表</w:t>
      </w:r>
    </w:p>
    <w:p>
      <w:pPr>
        <w:pStyle w:val="17"/>
        <w:numPr>
          <w:ilvl w:val="0"/>
          <w:numId w:val="0"/>
        </w:numPr>
        <w:snapToGrid w:val="0"/>
        <w:spacing w:line="560" w:lineRule="exact"/>
        <w:ind w:leftChars="0" w:firstLine="640" w:firstLineChars="200"/>
        <w:jc w:val="left"/>
        <w:rPr>
          <w:rFonts w:hint="eastAsia" w:ascii="仿宋_GB2312" w:eastAsia="仿宋_GB2312" w:cs="Times New Roman"/>
          <w:b w:val="0"/>
          <w:bCs w:val="0"/>
          <w:sz w:val="32"/>
          <w:szCs w:val="32"/>
          <w:lang w:val="en-US" w:eastAsia="zh-CN"/>
        </w:rPr>
      </w:pPr>
      <w:r>
        <w:rPr>
          <w:rFonts w:hint="eastAsia" w:ascii="仿宋_GB2312" w:eastAsia="仿宋_GB2312" w:cs="Times New Roman"/>
          <w:b w:val="0"/>
          <w:bCs w:val="0"/>
          <w:sz w:val="32"/>
          <w:szCs w:val="32"/>
          <w:lang w:val="en-US" w:eastAsia="zh-CN"/>
        </w:rPr>
        <w:t>需列明经费测算明细。</w:t>
      </w:r>
    </w:p>
    <w:p>
      <w:pPr>
        <w:pStyle w:val="17"/>
        <w:numPr>
          <w:ilvl w:val="0"/>
          <w:numId w:val="0"/>
        </w:numPr>
        <w:snapToGrid w:val="0"/>
        <w:spacing w:line="560" w:lineRule="exact"/>
        <w:ind w:left="0" w:leftChars="0" w:firstLine="642" w:firstLineChars="200"/>
        <w:jc w:val="left"/>
        <w:rPr>
          <w:rFonts w:hint="eastAsia" w:ascii="仿宋_GB2312" w:eastAsia="仿宋_GB2312" w:cs="Times New Roman"/>
          <w:b/>
          <w:bCs/>
          <w:sz w:val="32"/>
          <w:szCs w:val="32"/>
          <w:highlight w:val="none"/>
          <w:lang w:val="en-US" w:eastAsia="zh-CN"/>
        </w:rPr>
      </w:pPr>
      <w:r>
        <w:rPr>
          <w:rFonts w:hint="eastAsia" w:ascii="楷体_GB2312" w:hAnsi="楷体_GB2312" w:eastAsia="楷体_GB2312" w:cs="楷体_GB2312"/>
          <w:b/>
          <w:bCs/>
          <w:sz w:val="32"/>
          <w:szCs w:val="32"/>
          <w:lang w:eastAsia="zh-CN"/>
        </w:rPr>
        <w:t>（五）其他相关材料</w:t>
      </w:r>
    </w:p>
    <w:p>
      <w:pPr>
        <w:pStyle w:val="17"/>
        <w:numPr>
          <w:ilvl w:val="0"/>
          <w:numId w:val="0"/>
        </w:numPr>
        <w:snapToGrid w:val="0"/>
        <w:spacing w:line="560" w:lineRule="exact"/>
        <w:ind w:left="0" w:leftChars="0" w:firstLine="642" w:firstLineChars="200"/>
        <w:jc w:val="left"/>
        <w:rPr>
          <w:rFonts w:hint="eastAsia" w:ascii="仿宋_GB2312" w:eastAsia="仿宋_GB2312" w:cs="Times New Roman"/>
          <w:b/>
          <w:bCs/>
          <w:sz w:val="32"/>
          <w:szCs w:val="32"/>
          <w:highlight w:val="none"/>
          <w:lang w:val="en-US" w:eastAsia="zh-CN"/>
        </w:rPr>
      </w:pPr>
      <w:r>
        <w:rPr>
          <w:rFonts w:hint="eastAsia" w:ascii="仿宋_GB2312" w:eastAsia="仿宋_GB2312" w:cs="Times New Roman"/>
          <w:b/>
          <w:bCs/>
          <w:sz w:val="32"/>
          <w:szCs w:val="32"/>
          <w:highlight w:val="none"/>
          <w:lang w:val="en-US" w:eastAsia="zh-CN"/>
        </w:rPr>
        <w:t>1.承诺培训属于非盈利性质，免费向深圳市企事业单位及相关社会公众提供的承诺函；</w:t>
      </w:r>
    </w:p>
    <w:p>
      <w:pPr>
        <w:pStyle w:val="17"/>
        <w:numPr>
          <w:ilvl w:val="0"/>
          <w:numId w:val="0"/>
        </w:numPr>
        <w:snapToGrid w:val="0"/>
        <w:spacing w:line="560" w:lineRule="exact"/>
        <w:ind w:left="0" w:leftChars="0" w:firstLine="642" w:firstLineChars="200"/>
        <w:jc w:val="left"/>
        <w:rPr>
          <w:rFonts w:hint="eastAsia" w:ascii="仿宋_GB2312" w:eastAsia="仿宋_GB2312"/>
          <w:sz w:val="32"/>
          <w:szCs w:val="32"/>
          <w:highlight w:val="none"/>
        </w:rPr>
      </w:pPr>
      <w:r>
        <w:rPr>
          <w:rFonts w:hint="eastAsia" w:ascii="仿宋_GB2312" w:eastAsia="仿宋_GB2312" w:cs="Times New Roman"/>
          <w:b/>
          <w:bCs/>
          <w:sz w:val="32"/>
          <w:szCs w:val="32"/>
          <w:highlight w:val="none"/>
          <w:lang w:val="en-US" w:eastAsia="zh-CN"/>
        </w:rPr>
        <w:t>2.过往项目经验（如有）：</w:t>
      </w:r>
      <w:r>
        <w:rPr>
          <w:rFonts w:hint="eastAsia" w:ascii="仿宋_GB2312" w:eastAsia="仿宋_GB2312" w:cs="Times New Roman"/>
          <w:b w:val="0"/>
          <w:bCs w:val="0"/>
          <w:sz w:val="32"/>
          <w:szCs w:val="32"/>
          <w:highlight w:val="none"/>
          <w:lang w:val="en-US" w:eastAsia="zh-CN"/>
        </w:rPr>
        <w:t>过往主/承办过国家、省、市知识产权培训项目的，需上传相关培训清单（系统模板）及相关佐证材料，如项目合同等</w:t>
      </w:r>
      <w:r>
        <w:rPr>
          <w:rFonts w:hint="eastAsia" w:ascii="仿宋_GB2312" w:eastAsia="仿宋_GB2312"/>
          <w:sz w:val="32"/>
          <w:szCs w:val="32"/>
          <w:highlight w:val="none"/>
        </w:rPr>
        <w:t>。</w:t>
      </w:r>
    </w:p>
    <w:p>
      <w:pPr>
        <w:pStyle w:val="17"/>
        <w:numPr>
          <w:ilvl w:val="0"/>
          <w:numId w:val="0"/>
        </w:numPr>
        <w:snapToGrid w:val="0"/>
        <w:spacing w:line="560" w:lineRule="exact"/>
        <w:ind w:leftChars="0" w:firstLine="640" w:firstLineChars="200"/>
        <w:jc w:val="left"/>
        <w:rPr>
          <w:rFonts w:hint="eastAsia" w:ascii="楷体_GB2312" w:hAnsi="楷体_GB2312" w:eastAsia="楷体_GB2312" w:cs="楷体_GB2312"/>
          <w:b/>
          <w:bCs/>
          <w:sz w:val="32"/>
          <w:szCs w:val="32"/>
          <w:highlight w:val="yellow"/>
          <w:lang w:eastAsia="zh-CN"/>
        </w:rPr>
      </w:pPr>
      <w:r>
        <w:rPr>
          <w:rFonts w:hint="eastAsia" w:ascii="仿宋_GB2312" w:eastAsia="仿宋_GB2312"/>
          <w:sz w:val="32"/>
          <w:szCs w:val="32"/>
        </w:rPr>
        <w:t>以上第（一）至第（</w:t>
      </w:r>
      <w:r>
        <w:rPr>
          <w:rFonts w:hint="eastAsia" w:ascii="仿宋_GB2312" w:eastAsia="仿宋_GB2312"/>
          <w:sz w:val="32"/>
          <w:szCs w:val="32"/>
          <w:lang w:eastAsia="zh-CN"/>
        </w:rPr>
        <w:t>五</w:t>
      </w:r>
      <w:r>
        <w:rPr>
          <w:rFonts w:hint="eastAsia" w:ascii="仿宋_GB2312" w:eastAsia="仿宋_GB2312"/>
          <w:sz w:val="32"/>
          <w:szCs w:val="32"/>
        </w:rPr>
        <w:t>）项全部申请材料应当确保页面文字、公章、签名等实质性内容清晰可辨，各页面主要内容均为正向，不可横置或倒置。</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受理事宜</w:t>
      </w:r>
    </w:p>
    <w:p>
      <w:pPr>
        <w:snapToGrid w:val="0"/>
        <w:spacing w:line="560" w:lineRule="exact"/>
        <w:ind w:firstLine="642" w:firstLineChars="200"/>
        <w:jc w:val="left"/>
        <w:rPr>
          <w:rFonts w:ascii="仿宋_GB2312" w:eastAsia="仿宋_GB2312"/>
          <w:sz w:val="32"/>
          <w:szCs w:val="32"/>
        </w:rPr>
      </w:pPr>
      <w:r>
        <w:rPr>
          <w:rFonts w:hint="eastAsia" w:ascii="楷体_GB2312" w:hAnsi="楷体_GB2312" w:eastAsia="楷体_GB2312" w:cs="楷体_GB2312"/>
          <w:b/>
          <w:bCs/>
          <w:sz w:val="32"/>
          <w:szCs w:val="32"/>
        </w:rPr>
        <w:t>（一）受理机关</w:t>
      </w:r>
      <w:r>
        <w:rPr>
          <w:rFonts w:hint="eastAsia" w:ascii="仿宋_GB2312" w:hAnsi="仿宋_GB2312" w:eastAsia="仿宋_GB2312" w:cs="仿宋_GB2312"/>
          <w:sz w:val="32"/>
          <w:szCs w:val="32"/>
        </w:rPr>
        <w:t>：</w:t>
      </w:r>
      <w:r>
        <w:rPr>
          <w:rFonts w:hint="eastAsia" w:ascii="仿宋_GB2312" w:eastAsia="仿宋_GB2312"/>
          <w:sz w:val="32"/>
          <w:szCs w:val="32"/>
        </w:rPr>
        <w:t>深圳市市场监督管理局。</w:t>
      </w:r>
    </w:p>
    <w:p>
      <w:pPr>
        <w:snapToGrid w:val="0"/>
        <w:spacing w:line="560" w:lineRule="exact"/>
        <w:ind w:firstLine="642" w:firstLineChars="200"/>
        <w:jc w:val="left"/>
        <w:rPr>
          <w:rFonts w:ascii="仿宋_GB2312" w:eastAsia="仿宋_GB2312"/>
          <w:color w:val="FF0000"/>
          <w:sz w:val="32"/>
          <w:szCs w:val="32"/>
          <w:highlight w:val="none"/>
        </w:rPr>
      </w:pPr>
      <w:r>
        <w:rPr>
          <w:rFonts w:hint="eastAsia" w:ascii="楷体_GB2312" w:hAnsi="楷体_GB2312" w:eastAsia="楷体_GB2312" w:cs="楷体_GB2312"/>
          <w:b/>
          <w:bCs/>
          <w:sz w:val="32"/>
          <w:szCs w:val="32"/>
        </w:rPr>
        <w:t>（二）受</w:t>
      </w:r>
      <w:r>
        <w:rPr>
          <w:rFonts w:hint="eastAsia" w:ascii="楷体_GB2312" w:hAnsi="楷体_GB2312" w:eastAsia="楷体_GB2312" w:cs="楷体_GB2312"/>
          <w:b/>
          <w:bCs/>
          <w:color w:val="auto"/>
          <w:sz w:val="32"/>
          <w:szCs w:val="32"/>
        </w:rPr>
        <w:t>理时间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日9:00至202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日18:00</w:t>
      </w:r>
      <w:r>
        <w:rPr>
          <w:rFonts w:hint="eastAsia" w:ascii="仿宋_GB2312" w:eastAsia="仿宋_GB2312"/>
          <w:color w:val="auto"/>
          <w:sz w:val="32"/>
          <w:szCs w:val="32"/>
          <w:highlight w:val="none"/>
        </w:rPr>
        <w:t>。</w:t>
      </w:r>
    </w:p>
    <w:p>
      <w:pPr>
        <w:snapToGrid w:val="0"/>
        <w:spacing w:line="560" w:lineRule="exact"/>
        <w:ind w:firstLine="642"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（三）申报方式</w:t>
      </w:r>
    </w:p>
    <w:p>
      <w:pPr>
        <w:numPr>
          <w:ilvl w:val="0"/>
          <w:numId w:val="0"/>
        </w:numPr>
        <w:snapToGrid w:val="0"/>
        <w:spacing w:line="560" w:lineRule="exact"/>
        <w:ind w:firstLine="640" w:firstLineChars="200"/>
        <w:rPr>
          <w:rFonts w:ascii="仿宋_GB2312" w:eastAsia="仿宋_GB2312"/>
          <w:kern w:val="0"/>
          <w:sz w:val="32"/>
          <w:szCs w:val="32"/>
        </w:rPr>
      </w:pPr>
      <w:r>
        <w:rPr>
          <w:rFonts w:hint="eastAsia" w:ascii="仿宋_GB2312" w:eastAsia="仿宋_GB2312"/>
          <w:sz w:val="32"/>
          <w:szCs w:val="32"/>
        </w:rPr>
        <w:t>本</w:t>
      </w:r>
      <w:r>
        <w:rPr>
          <w:rFonts w:hint="eastAsia" w:ascii="仿宋_GB2312" w:eastAsia="仿宋_GB2312"/>
          <w:sz w:val="32"/>
          <w:szCs w:val="32"/>
          <w:lang w:eastAsia="zh-CN"/>
        </w:rPr>
        <w:t>项目</w:t>
      </w:r>
      <w:r>
        <w:rPr>
          <w:rFonts w:hint="eastAsia" w:ascii="仿宋_GB2312" w:eastAsia="仿宋_GB2312"/>
          <w:sz w:val="32"/>
          <w:szCs w:val="32"/>
        </w:rPr>
        <w:t>实行网上在线申报，申报</w:t>
      </w:r>
      <w:r>
        <w:rPr>
          <w:rFonts w:hint="eastAsia" w:ascii="仿宋_GB2312" w:eastAsia="仿宋_GB2312"/>
          <w:sz w:val="32"/>
          <w:szCs w:val="32"/>
          <w:lang w:eastAsia="zh-CN"/>
        </w:rPr>
        <w:t>人需进入深圳市财政专项资金统一管理平台</w:t>
      </w:r>
      <w:r>
        <w:rPr>
          <w:rFonts w:hint="eastAsia" w:ascii="仿宋_GB2312" w:eastAsia="仿宋_GB2312"/>
          <w:color w:val="auto"/>
          <w:kern w:val="0"/>
          <w:sz w:val="32"/>
          <w:szCs w:val="32"/>
          <w:lang w:eastAsia="zh-CN"/>
        </w:rPr>
        <w:t>（</w:t>
      </w:r>
      <w:r>
        <w:rPr>
          <w:rFonts w:hint="eastAsia" w:ascii="仿宋_GB2312" w:eastAsia="仿宋_GB2312"/>
          <w:color w:val="auto"/>
          <w:sz w:val="32"/>
          <w:szCs w:val="32"/>
          <w:highlight w:val="none"/>
        </w:rPr>
        <w:t>https://cqt.szfb.sz.gov.cn/#/home</w:t>
      </w:r>
      <w:r>
        <w:rPr>
          <w:rFonts w:hint="eastAsia" w:ascii="仿宋_GB2312" w:eastAsia="仿宋_GB2312"/>
          <w:color w:val="auto"/>
          <w:sz w:val="32"/>
          <w:szCs w:val="32"/>
          <w:highlight w:val="none"/>
          <w:lang w:eastAsia="zh-CN"/>
        </w:rPr>
        <w:t>）</w:t>
      </w:r>
      <w:r>
        <w:rPr>
          <w:rFonts w:hint="eastAsia" w:ascii="仿宋_GB2312" w:eastAsia="仿宋_GB2312"/>
          <w:color w:val="auto"/>
          <w:kern w:val="2"/>
          <w:sz w:val="32"/>
          <w:szCs w:val="32"/>
          <w:lang w:val="en" w:eastAsia="zh-CN"/>
        </w:rPr>
        <w:t>。</w:t>
      </w:r>
      <w:r>
        <w:rPr>
          <w:rFonts w:hint="eastAsia" w:ascii="仿宋_GB2312" w:eastAsia="仿宋_GB2312"/>
          <w:sz w:val="32"/>
          <w:szCs w:val="32"/>
          <w:highlight w:val="none"/>
          <w:lang w:eastAsia="zh-CN"/>
        </w:rPr>
        <w:t>该平台已与</w:t>
      </w:r>
      <w:r>
        <w:rPr>
          <w:rFonts w:hint="eastAsia" w:ascii="仿宋_GB2312" w:eastAsia="仿宋_GB2312"/>
          <w:sz w:val="32"/>
          <w:szCs w:val="32"/>
          <w:highlight w:val="none"/>
        </w:rPr>
        <w:t>广东政务服务网</w:t>
      </w:r>
      <w:r>
        <w:rPr>
          <w:rFonts w:hint="eastAsia" w:ascii="仿宋_GB2312" w:eastAsia="仿宋_GB2312"/>
          <w:sz w:val="32"/>
          <w:szCs w:val="32"/>
          <w:highlight w:val="none"/>
          <w:lang w:eastAsia="zh-CN"/>
        </w:rPr>
        <w:t>信息进行对接，申请人可使用</w:t>
      </w:r>
      <w:r>
        <w:rPr>
          <w:rFonts w:hint="eastAsia" w:ascii="仿宋_GB2312" w:eastAsia="仿宋_GB2312"/>
          <w:sz w:val="32"/>
          <w:szCs w:val="32"/>
          <w:highlight w:val="none"/>
        </w:rPr>
        <w:t>广东政务服务网账户</w:t>
      </w:r>
      <w:r>
        <w:rPr>
          <w:rFonts w:hint="eastAsia" w:ascii="仿宋_GB2312" w:eastAsia="仿宋_GB2312"/>
          <w:sz w:val="32"/>
          <w:szCs w:val="32"/>
          <w:highlight w:val="none"/>
          <w:lang w:eastAsia="zh-CN"/>
        </w:rPr>
        <w:t>密码进行登录，在搜索栏搜索本项目名称，</w:t>
      </w:r>
      <w:r>
        <w:rPr>
          <w:rFonts w:hint="eastAsia" w:ascii="仿宋_GB2312" w:eastAsia="仿宋_GB2312"/>
          <w:sz w:val="32"/>
          <w:szCs w:val="32"/>
        </w:rPr>
        <w:t>选中后进入申报页面。</w:t>
      </w:r>
      <w:r>
        <w:rPr>
          <w:rFonts w:ascii="仿宋_GB2312" w:eastAsia="仿宋_GB2312"/>
          <w:kern w:val="0"/>
          <w:sz w:val="32"/>
          <w:szCs w:val="32"/>
        </w:rPr>
        <w:t>将本指南第</w:t>
      </w:r>
      <w:r>
        <w:rPr>
          <w:rFonts w:hint="eastAsia" w:ascii="仿宋_GB2312" w:eastAsia="仿宋_GB2312"/>
          <w:kern w:val="0"/>
          <w:sz w:val="32"/>
          <w:szCs w:val="32"/>
        </w:rPr>
        <w:t>六</w:t>
      </w:r>
      <w:r>
        <w:rPr>
          <w:rFonts w:ascii="仿宋_GB2312" w:eastAsia="仿宋_GB2312"/>
          <w:kern w:val="0"/>
          <w:sz w:val="32"/>
          <w:szCs w:val="32"/>
        </w:rPr>
        <w:t>条要求的</w:t>
      </w:r>
      <w:r>
        <w:rPr>
          <w:rFonts w:hint="eastAsia" w:ascii="仿宋_GB2312" w:eastAsia="仿宋_GB2312"/>
          <w:kern w:val="0"/>
          <w:sz w:val="32"/>
          <w:szCs w:val="32"/>
        </w:rPr>
        <w:t>全部</w:t>
      </w:r>
      <w:r>
        <w:rPr>
          <w:rFonts w:ascii="仿宋_GB2312" w:eastAsia="仿宋_GB2312"/>
          <w:kern w:val="0"/>
          <w:sz w:val="32"/>
          <w:szCs w:val="32"/>
        </w:rPr>
        <w:t>申</w:t>
      </w:r>
      <w:r>
        <w:rPr>
          <w:rFonts w:hint="eastAsia" w:ascii="仿宋_GB2312" w:eastAsia="仿宋_GB2312"/>
          <w:kern w:val="0"/>
          <w:sz w:val="32"/>
          <w:szCs w:val="32"/>
        </w:rPr>
        <w:t>请</w:t>
      </w:r>
      <w:r>
        <w:rPr>
          <w:rFonts w:ascii="仿宋_GB2312" w:eastAsia="仿宋_GB2312"/>
          <w:kern w:val="0"/>
          <w:sz w:val="32"/>
          <w:szCs w:val="32"/>
        </w:rPr>
        <w:t>材料按照申报系统中的</w:t>
      </w:r>
      <w:r>
        <w:rPr>
          <w:rFonts w:hint="eastAsia" w:ascii="仿宋_GB2312" w:eastAsia="仿宋_GB2312"/>
          <w:kern w:val="0"/>
          <w:sz w:val="32"/>
          <w:szCs w:val="32"/>
        </w:rPr>
        <w:t>有关</w:t>
      </w:r>
      <w:r>
        <w:rPr>
          <w:rFonts w:ascii="仿宋_GB2312" w:eastAsia="仿宋_GB2312"/>
          <w:kern w:val="0"/>
          <w:sz w:val="32"/>
          <w:szCs w:val="32"/>
        </w:rPr>
        <w:t>提示要求</w:t>
      </w:r>
      <w:r>
        <w:rPr>
          <w:rFonts w:hint="eastAsia" w:ascii="仿宋_GB2312" w:eastAsia="仿宋_GB2312"/>
          <w:kern w:val="0"/>
          <w:sz w:val="32"/>
          <w:szCs w:val="32"/>
        </w:rPr>
        <w:t>分别</w:t>
      </w:r>
      <w:r>
        <w:rPr>
          <w:rFonts w:ascii="仿宋_GB2312" w:eastAsia="仿宋_GB2312"/>
          <w:kern w:val="0"/>
          <w:sz w:val="32"/>
          <w:szCs w:val="32"/>
        </w:rPr>
        <w:t>上传。</w:t>
      </w:r>
    </w:p>
    <w:p>
      <w:p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申报系统技术支持电话：0755-27038037。申报业务咨询电话：0755-83070752</w:t>
      </w:r>
      <w:r>
        <w:rPr>
          <w:rFonts w:hint="eastAsia" w:ascii="仿宋_GB2312" w:hAnsi="仿宋_GB2312" w:eastAsia="仿宋_GB2312" w:cs="仿宋_GB2312"/>
          <w:sz w:val="32"/>
          <w:szCs w:val="32"/>
        </w:rPr>
        <w:t>。</w:t>
      </w:r>
      <w:r>
        <w:rPr>
          <w:rFonts w:hint="eastAsia" w:ascii="仿宋_GB2312" w:eastAsia="仿宋_GB2312"/>
          <w:sz w:val="32"/>
          <w:szCs w:val="32"/>
        </w:rPr>
        <w:t>办公时间：星期一至星期五（法定节假日除外）上午09:00-12:00，下午14:00-18:00。</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决定机关</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深圳市市场监督管理局</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办理程序与注意事项</w:t>
      </w:r>
    </w:p>
    <w:p>
      <w:pPr>
        <w:snapToGrid w:val="0"/>
        <w:spacing w:line="560" w:lineRule="exact"/>
        <w:ind w:firstLine="642"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（一）办理程序</w:t>
      </w:r>
    </w:p>
    <w:p>
      <w:pPr>
        <w:numPr>
          <w:ilvl w:val="0"/>
          <w:numId w:val="0"/>
        </w:numPr>
        <w:snapToGrid w:val="0"/>
        <w:spacing w:line="560" w:lineRule="exact"/>
        <w:ind w:firstLine="640" w:firstLineChars="200"/>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w:t>
      </w:r>
      <w:r>
        <w:rPr>
          <w:rFonts w:hint="default" w:ascii="仿宋_GB2312" w:eastAsia="仿宋_GB2312"/>
          <w:sz w:val="32"/>
        </w:rPr>
        <w:t>会同</w:t>
      </w:r>
      <w:r>
        <w:rPr>
          <w:rFonts w:hint="eastAsia" w:ascii="仿宋_GB2312" w:eastAsia="仿宋_GB2312"/>
          <w:sz w:val="32"/>
        </w:rPr>
        <w:t>相关部门核对数据、核查诚信情况</w:t>
      </w:r>
      <w:r>
        <w:rPr>
          <w:rFonts w:hint="default" w:ascii="仿宋_GB2312" w:eastAsia="仿宋_GB2312"/>
          <w:sz w:val="32"/>
        </w:rPr>
        <w:t>和重复资助情况</w:t>
      </w:r>
      <w:r>
        <w:rPr>
          <w:rFonts w:hint="eastAsia" w:ascii="仿宋_GB2312" w:eastAsia="仿宋_GB2312"/>
          <w:sz w:val="32"/>
        </w:rPr>
        <w:t>——</w:t>
      </w:r>
      <w:r>
        <w:rPr>
          <w:rFonts w:hint="eastAsia" w:ascii="仿宋_GB2312" w:hAnsi="仿宋_GB2312" w:eastAsia="仿宋_GB2312" w:cs="仿宋_GB2312"/>
          <w:sz w:val="32"/>
          <w:szCs w:val="32"/>
        </w:rPr>
        <w:t>集体研究决策</w:t>
      </w:r>
      <w:r>
        <w:rPr>
          <w:rFonts w:hint="eastAsia" w:ascii="仿宋_GB2312" w:eastAsia="仿宋_GB2312"/>
          <w:sz w:val="32"/>
        </w:rPr>
        <w:t>——公示（</w:t>
      </w:r>
      <w:r>
        <w:rPr>
          <w:rFonts w:ascii="仿宋_GB2312" w:eastAsia="仿宋_GB2312"/>
          <w:sz w:val="32"/>
        </w:rPr>
        <w:t>5个工作日）</w:t>
      </w:r>
      <w:r>
        <w:rPr>
          <w:rFonts w:hint="eastAsia" w:ascii="仿宋_GB2312" w:eastAsia="仿宋_GB2312"/>
          <w:sz w:val="32"/>
        </w:rPr>
        <w:t>——</w:t>
      </w:r>
      <w:r>
        <w:rPr>
          <w:rFonts w:hint="default" w:ascii="仿宋_GB2312" w:eastAsia="仿宋_GB2312"/>
          <w:sz w:val="32"/>
          <w:lang w:val="en"/>
        </w:rPr>
        <w:t>合同签订（事后项目无此环节）</w:t>
      </w:r>
      <w:r>
        <w:rPr>
          <w:rFonts w:hint="eastAsia" w:ascii="仿宋_GB2312" w:eastAsia="仿宋_GB2312"/>
          <w:sz w:val="32"/>
        </w:rPr>
        <w:t>——财政资金预算申请——</w:t>
      </w:r>
      <w:r>
        <w:rPr>
          <w:rFonts w:hint="eastAsia" w:ascii="仿宋_GB2312" w:eastAsia="仿宋_GB2312"/>
          <w:sz w:val="32"/>
          <w:lang w:eastAsia="zh-CN"/>
        </w:rPr>
        <w:t>项目验收（事后项目无此环节）</w:t>
      </w:r>
      <w:r>
        <w:rPr>
          <w:rFonts w:hint="eastAsia" w:ascii="仿宋_GB2312" w:eastAsia="仿宋_GB2312"/>
          <w:sz w:val="32"/>
        </w:rPr>
        <w:t>——</w:t>
      </w:r>
      <w:r>
        <w:rPr>
          <w:rFonts w:hint="eastAsia" w:ascii="仿宋_GB2312" w:eastAsia="仿宋_GB2312"/>
          <w:sz w:val="32"/>
          <w:lang w:eastAsia="zh-CN"/>
        </w:rPr>
        <w:t>审计（</w:t>
      </w:r>
      <w:r>
        <w:rPr>
          <w:rFonts w:hint="eastAsia" w:ascii="仿宋_GB2312" w:eastAsia="仿宋_GB2312"/>
          <w:sz w:val="32"/>
          <w:highlight w:val="none"/>
          <w:lang w:eastAsia="zh-CN"/>
        </w:rPr>
        <w:t>事后项目审计环节在预算申请前进行</w:t>
      </w:r>
      <w:r>
        <w:rPr>
          <w:rFonts w:hint="eastAsia" w:ascii="仿宋_GB2312" w:eastAsia="仿宋_GB2312"/>
          <w:sz w:val="32"/>
          <w:lang w:eastAsia="zh-CN"/>
        </w:rPr>
        <w:t>）——</w:t>
      </w:r>
      <w:r>
        <w:rPr>
          <w:rFonts w:hint="eastAsia" w:ascii="仿宋_GB2312" w:eastAsia="仿宋_GB2312"/>
          <w:sz w:val="32"/>
        </w:rPr>
        <w:t>资金拨付。</w:t>
      </w:r>
    </w:p>
    <w:p>
      <w:pPr>
        <w:snapToGrid w:val="0"/>
        <w:spacing w:line="560" w:lineRule="exact"/>
        <w:ind w:firstLine="642"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（二）注意事项</w:t>
      </w:r>
    </w:p>
    <w:p>
      <w:pPr>
        <w:pStyle w:val="4"/>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w:t>
      </w:r>
      <w:r>
        <w:rPr>
          <w:rFonts w:hint="eastAsia" w:ascii="仿宋_GB2312" w:eastAsia="仿宋_GB2312"/>
          <w:b/>
          <w:bCs w:val="0"/>
          <w:sz w:val="32"/>
          <w:szCs w:val="32"/>
          <w:highlight w:val="none"/>
        </w:rPr>
        <w:t>申请人</w:t>
      </w:r>
      <w:r>
        <w:rPr>
          <w:rFonts w:hint="eastAsia" w:ascii="仿宋_GB2312" w:eastAsia="仿宋_GB2312"/>
          <w:b/>
          <w:bCs w:val="0"/>
          <w:sz w:val="32"/>
          <w:szCs w:val="32"/>
          <w:highlight w:val="none"/>
          <w:lang w:eastAsia="zh-CN"/>
        </w:rPr>
        <w:t>应为正常经营状态，并通过上述申报平台自行申报。</w:t>
      </w:r>
      <w:r>
        <w:rPr>
          <w:rFonts w:hint="eastAsia" w:ascii="仿宋_GB2312" w:eastAsia="仿宋_GB2312"/>
          <w:b w:val="0"/>
          <w:bCs/>
          <w:sz w:val="32"/>
          <w:szCs w:val="32"/>
        </w:rPr>
        <w:t>申请人广东政务服务网账户等级须达到五级（原L3级别）核验方可进行申报。</w:t>
      </w:r>
      <w:r>
        <w:rPr>
          <w:rFonts w:hint="eastAsia"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0"/>
          <w:numId w:val="0"/>
        </w:numPr>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ascii="仿宋_GB2312" w:hAnsi="仿宋_GB2312" w:eastAsia="仿宋_GB2312" w:cs="仿宋_GB2312"/>
          <w:b/>
          <w:sz w:val="32"/>
          <w:szCs w:val="32"/>
        </w:rPr>
        <w:t>．</w:t>
      </w:r>
      <w:r>
        <w:rPr>
          <w:rFonts w:hint="eastAsia" w:ascii="仿宋_GB2312" w:eastAsia="仿宋_GB2312"/>
          <w:sz w:val="32"/>
          <w:szCs w:val="32"/>
        </w:rPr>
        <w:t>严格按照申报系统有关提示进行填报</w:t>
      </w:r>
      <w:r>
        <w:rPr>
          <w:rFonts w:hint="eastAsia" w:ascii="仿宋_GB2312" w:eastAsia="仿宋_GB2312"/>
          <w:sz w:val="32"/>
          <w:szCs w:val="32"/>
          <w:lang w:eastAsia="zh-CN"/>
        </w:rPr>
        <w:t>，</w:t>
      </w:r>
      <w:r>
        <w:rPr>
          <w:rFonts w:hint="eastAsia" w:ascii="仿宋_GB2312" w:hAnsi="仿宋_GB2312" w:eastAsia="仿宋_GB2312" w:cs="仿宋_GB2312"/>
          <w:sz w:val="32"/>
          <w:szCs w:val="32"/>
          <w:lang w:eastAsia="zh-CN"/>
        </w:rPr>
        <w:t>深圳</w:t>
      </w:r>
      <w:r>
        <w:rPr>
          <w:rFonts w:hint="eastAsia" w:ascii="仿宋_GB2312" w:hAnsi="仿宋_GB2312" w:eastAsia="仿宋_GB2312" w:cs="仿宋_GB2312"/>
          <w:sz w:val="32"/>
          <w:szCs w:val="32"/>
        </w:rPr>
        <w:t>市知识产权主管部门对申请材料进行受理和初审，申请材料不完善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，限期予以补正；申请人应按要求进行补正，未按要求补正材料或补正材料未通过审核的，不予资助或奖励</w:t>
      </w:r>
      <w:r>
        <w:rPr>
          <w:rFonts w:hint="eastAsia" w:ascii="仿宋_GB2312" w:hAnsi="仿宋_GB2312" w:eastAsia="仿宋_GB2312" w:cs="仿宋_GB2312"/>
          <w:sz w:val="32"/>
          <w:szCs w:val="32"/>
          <w:lang w:eastAsia="zh-CN"/>
        </w:rPr>
        <w:t>。</w:t>
      </w:r>
    </w:p>
    <w:p>
      <w:pPr>
        <w:numPr>
          <w:ilvl w:val="0"/>
          <w:numId w:val="0"/>
        </w:numPr>
        <w:snapToGrid w:val="0"/>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lang w:val="en-US" w:eastAsia="zh-CN"/>
        </w:rPr>
        <w:t>3.</w:t>
      </w:r>
      <w:r>
        <w:rPr>
          <w:rFonts w:ascii="仿宋_GB2312" w:eastAsia="仿宋_GB2312"/>
          <w:sz w:val="32"/>
          <w:szCs w:val="32"/>
        </w:rPr>
        <w:t>申请人提交</w:t>
      </w:r>
      <w:r>
        <w:rPr>
          <w:rFonts w:hint="eastAsia" w:ascii="仿宋_GB2312" w:hAnsi="仿宋_GB2312" w:eastAsia="仿宋_GB2312" w:cs="仿宋_GB2312"/>
          <w:sz w:val="32"/>
          <w:szCs w:val="32"/>
        </w:rPr>
        <w:t>资助或奖励</w:t>
      </w:r>
      <w:r>
        <w:rPr>
          <w:rFonts w:ascii="仿宋_GB2312" w:eastAsia="仿宋_GB2312"/>
          <w:sz w:val="32"/>
          <w:szCs w:val="32"/>
        </w:rPr>
        <w:t>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0"/>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eastAsia="仿宋_GB2312"/>
          <w:sz w:val="32"/>
          <w:szCs w:val="32"/>
          <w:lang w:val="en-US" w:eastAsia="zh-CN"/>
        </w:rPr>
        <w:t>4.</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合规提示</w:t>
      </w:r>
    </w:p>
    <w:p>
      <w:pPr>
        <w:pStyle w:val="4"/>
        <w:numPr>
          <w:ilvl w:val="0"/>
          <w:numId w:val="3"/>
        </w:numPr>
        <w:snapToGrid w:val="0"/>
        <w:spacing w:before="0" w:beforeAutospacing="0" w:after="0" w:afterAutospacing="0" w:line="560" w:lineRule="exact"/>
        <w:ind w:firstLine="640" w:firstLineChars="200"/>
        <w:jc w:val="both"/>
        <w:rPr>
          <w:rFonts w:hint="default" w:ascii="仿宋_GB2312" w:eastAsia="仿宋_GB2312"/>
          <w:b w:val="0"/>
          <w:sz w:val="32"/>
          <w:szCs w:val="32"/>
          <w:highlight w:val="none"/>
        </w:rPr>
      </w:pPr>
      <w:r>
        <w:rPr>
          <w:rFonts w:ascii="仿宋_GB2312" w:eastAsia="仿宋_GB2312"/>
          <w:b w:val="0"/>
          <w:sz w:val="32"/>
          <w:szCs w:val="32"/>
          <w:highlight w:val="none"/>
        </w:rPr>
        <w:t>《深圳市市场监督管理局知识产权领域专项资金操作规程》第</w:t>
      </w:r>
      <w:r>
        <w:rPr>
          <w:rFonts w:hint="eastAsia" w:ascii="仿宋_GB2312" w:eastAsia="仿宋_GB2312"/>
          <w:b w:val="0"/>
          <w:sz w:val="32"/>
          <w:szCs w:val="32"/>
          <w:highlight w:val="none"/>
          <w:lang w:eastAsia="zh-CN"/>
        </w:rPr>
        <w:t>三</w:t>
      </w:r>
      <w:r>
        <w:rPr>
          <w:rFonts w:ascii="仿宋_GB2312" w:eastAsia="仿宋_GB2312"/>
          <w:b w:val="0"/>
          <w:sz w:val="32"/>
          <w:szCs w:val="32"/>
          <w:highlight w:val="none"/>
        </w:rPr>
        <w:t>十</w:t>
      </w:r>
      <w:r>
        <w:rPr>
          <w:rFonts w:hint="eastAsia" w:ascii="仿宋_GB2312" w:eastAsia="仿宋_GB2312"/>
          <w:b w:val="0"/>
          <w:sz w:val="32"/>
          <w:szCs w:val="32"/>
          <w:highlight w:val="none"/>
          <w:lang w:eastAsia="zh-CN"/>
        </w:rPr>
        <w:t>七</w:t>
      </w:r>
      <w:r>
        <w:rPr>
          <w:rFonts w:ascii="仿宋_GB2312" w:eastAsia="仿宋_GB2312"/>
          <w:b w:val="0"/>
          <w:sz w:val="32"/>
          <w:szCs w:val="32"/>
          <w:highlight w:val="none"/>
        </w:rPr>
        <w:t>条规定：</w:t>
      </w:r>
      <w:r>
        <w:rPr>
          <w:rFonts w:hint="eastAsia" w:ascii="仿宋_GB2312" w:eastAsia="仿宋_GB2312"/>
          <w:b w:val="0"/>
          <w:sz w:val="32"/>
          <w:szCs w:val="32"/>
          <w:highlight w:val="none"/>
        </w:rPr>
        <w:t>申请人应对提交的申请材料真实性、合法性、有效性负责。申请人利用虚假材料或</w:t>
      </w:r>
      <w:r>
        <w:rPr>
          <w:rFonts w:hint="eastAsia" w:ascii="仿宋_GB2312" w:eastAsia="仿宋_GB2312"/>
          <w:b w:val="0"/>
          <w:sz w:val="32"/>
          <w:szCs w:val="32"/>
          <w:highlight w:val="none"/>
          <w:lang w:eastAsia="zh-CN"/>
        </w:rPr>
        <w:t>通过</w:t>
      </w:r>
      <w:r>
        <w:rPr>
          <w:rFonts w:hint="eastAsia" w:ascii="仿宋_GB2312" w:eastAsia="仿宋_GB2312"/>
          <w:b w:val="0"/>
          <w:sz w:val="32"/>
          <w:szCs w:val="32"/>
          <w:highlight w:val="none"/>
        </w:rPr>
        <w:t>其</w:t>
      </w:r>
      <w:r>
        <w:rPr>
          <w:rFonts w:hint="eastAsia" w:ascii="仿宋_GB2312" w:eastAsia="仿宋_GB2312"/>
          <w:b w:val="0"/>
          <w:sz w:val="32"/>
          <w:szCs w:val="32"/>
          <w:highlight w:val="none"/>
          <w:lang w:eastAsia="zh-CN"/>
        </w:rPr>
        <w:t>他</w:t>
      </w:r>
      <w:r>
        <w:rPr>
          <w:rFonts w:hint="eastAsia" w:ascii="仿宋_GB2312" w:eastAsia="仿宋_GB2312"/>
          <w:b w:val="0"/>
          <w:sz w:val="32"/>
          <w:szCs w:val="32"/>
          <w:highlight w:val="none"/>
        </w:rPr>
        <w:t>不正当行为骗取、套取、虚报、冒领、截留、挪用专项资金或者违反其</w:t>
      </w:r>
      <w:r>
        <w:rPr>
          <w:rFonts w:hint="eastAsia" w:ascii="仿宋_GB2312" w:eastAsia="仿宋_GB2312"/>
          <w:b w:val="0"/>
          <w:sz w:val="32"/>
          <w:szCs w:val="32"/>
          <w:highlight w:val="none"/>
          <w:lang w:eastAsia="zh-CN"/>
        </w:rPr>
        <w:t>他</w:t>
      </w:r>
      <w:r>
        <w:rPr>
          <w:rFonts w:hint="eastAsia" w:ascii="仿宋_GB2312" w:eastAsia="仿宋_GB2312"/>
          <w:b w:val="0"/>
          <w:sz w:val="32"/>
          <w:szCs w:val="32"/>
          <w:highlight w:val="none"/>
        </w:rPr>
        <w:t>财务纪律的，按照有关规定处理；情节严重的，依照国家相关法律、法规移交有关部门处理。</w:t>
      </w:r>
    </w:p>
    <w:p>
      <w:pPr>
        <w:pStyle w:val="4"/>
        <w:numPr>
          <w:ilvl w:val="0"/>
          <w:numId w:val="3"/>
        </w:numPr>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highlight w:val="none"/>
        </w:rPr>
        <w:t>《深圳市市场监督管理局知识产权领域专项资金操作规程》第</w:t>
      </w:r>
      <w:r>
        <w:rPr>
          <w:rFonts w:hint="eastAsia" w:ascii="仿宋_GB2312" w:eastAsia="仿宋_GB2312"/>
          <w:b w:val="0"/>
          <w:sz w:val="32"/>
          <w:szCs w:val="32"/>
          <w:highlight w:val="none"/>
          <w:lang w:eastAsia="zh-CN"/>
        </w:rPr>
        <w:t>三</w:t>
      </w:r>
      <w:r>
        <w:rPr>
          <w:rFonts w:ascii="仿宋_GB2312" w:eastAsia="仿宋_GB2312"/>
          <w:b w:val="0"/>
          <w:sz w:val="32"/>
          <w:szCs w:val="32"/>
          <w:highlight w:val="none"/>
        </w:rPr>
        <w:t>十</w:t>
      </w:r>
      <w:r>
        <w:rPr>
          <w:rFonts w:hint="eastAsia" w:ascii="仿宋_GB2312" w:eastAsia="仿宋_GB2312"/>
          <w:b w:val="0"/>
          <w:sz w:val="32"/>
          <w:szCs w:val="32"/>
          <w:highlight w:val="none"/>
          <w:lang w:eastAsia="zh-CN"/>
        </w:rPr>
        <w:t>八</w:t>
      </w:r>
      <w:r>
        <w:rPr>
          <w:rFonts w:ascii="仿宋_GB2312" w:eastAsia="仿宋_GB2312"/>
          <w:b w:val="0"/>
          <w:sz w:val="32"/>
          <w:szCs w:val="32"/>
          <w:highlight w:val="none"/>
        </w:rPr>
        <w:t>条规定：</w:t>
      </w:r>
      <w:r>
        <w:rPr>
          <w:rFonts w:hint="eastAsia" w:ascii="仿宋_GB2312" w:eastAsia="仿宋_GB2312"/>
          <w:b w:val="0"/>
          <w:sz w:val="32"/>
          <w:szCs w:val="32"/>
          <w:highlight w:val="none"/>
        </w:rPr>
        <w:t>受委托的第三方审计机构或专业机构在审计或核验过程</w:t>
      </w:r>
      <w:r>
        <w:rPr>
          <w:rFonts w:hint="eastAsia" w:ascii="仿宋_GB2312" w:eastAsia="仿宋_GB2312"/>
          <w:b w:val="0"/>
          <w:sz w:val="32"/>
          <w:szCs w:val="32"/>
        </w:rPr>
        <w:t>中，存在弄虚作假、隐瞒事实真相或与受资助单位串通作弊并出具相关报告</w:t>
      </w:r>
      <w:r>
        <w:rPr>
          <w:rFonts w:hint="eastAsia" w:ascii="仿宋_GB2312" w:eastAsia="仿宋_GB2312"/>
          <w:b w:val="0"/>
          <w:sz w:val="32"/>
          <w:szCs w:val="32"/>
          <w:lang w:eastAsia="zh-CN"/>
        </w:rPr>
        <w:t>情形的</w:t>
      </w:r>
      <w:r>
        <w:rPr>
          <w:rFonts w:hint="eastAsia" w:ascii="仿宋_GB2312" w:eastAsia="仿宋_GB2312"/>
          <w:b w:val="0"/>
          <w:sz w:val="32"/>
          <w:szCs w:val="32"/>
        </w:rPr>
        <w:t>，按照有关规定追究责任。</w:t>
      </w:r>
    </w:p>
    <w:p>
      <w:pPr>
        <w:pStyle w:val="4"/>
        <w:snapToGrid w:val="0"/>
        <w:spacing w:before="0" w:beforeAutospacing="0" w:after="0" w:afterAutospacing="0" w:line="560" w:lineRule="exact"/>
        <w:ind w:firstLine="640" w:firstLineChars="200"/>
        <w:jc w:val="both"/>
        <w:rPr>
          <w:rFonts w:ascii="仿宋_GB2312" w:eastAsia="仿宋_GB2312"/>
          <w:b w:val="0"/>
          <w:sz w:val="32"/>
          <w:szCs w:val="32"/>
        </w:rPr>
      </w:pPr>
      <w:r>
        <w:rPr>
          <w:rFonts w:ascii="仿宋_GB2312" w:eastAsia="仿宋_GB2312"/>
          <w:b w:val="0"/>
          <w:sz w:val="32"/>
          <w:szCs w:val="32"/>
        </w:rPr>
        <w:t>（三）</w:t>
      </w:r>
      <w:r>
        <w:rPr>
          <w:rFonts w:hint="eastAsia" w:ascii="仿宋_GB2312" w:eastAsia="仿宋_GB2312"/>
          <w:b w:val="0"/>
          <w:sz w:val="32"/>
          <w:szCs w:val="32"/>
        </w:rPr>
        <w:t>《深圳市市场监督管理局知识产权领域专项资金操作规程》第三十九条规定：第三方中介机构不得违规代理本规程资助奖励项目申领事宜。</w:t>
      </w:r>
    </w:p>
    <w:p>
      <w:pPr>
        <w:pStyle w:val="4"/>
        <w:snapToGrid w:val="0"/>
        <w:spacing w:before="0" w:beforeAutospacing="0" w:after="0" w:afterAutospacing="0" w:line="560" w:lineRule="exact"/>
        <w:ind w:firstLine="640" w:firstLineChars="200"/>
        <w:jc w:val="both"/>
        <w:rPr>
          <w:rFonts w:hint="default"/>
        </w:rPr>
      </w:pPr>
      <w:r>
        <w:rPr>
          <w:rFonts w:hint="eastAsia" w:ascii="仿宋_GB2312" w:eastAsia="仿宋_GB2312"/>
          <w:b w:val="0"/>
          <w:sz w:val="32"/>
          <w:szCs w:val="32"/>
          <w:lang w:eastAsia="zh-CN"/>
        </w:rPr>
        <w:t>（四）</w:t>
      </w:r>
      <w:r>
        <w:rPr>
          <w:rFonts w:ascii="仿宋_GB2312" w:eastAsia="仿宋_GB2312"/>
          <w:b w:val="0"/>
          <w:sz w:val="32"/>
          <w:szCs w:val="32"/>
        </w:rPr>
        <w:t>根据上述规定，申请人申请资助时必须作出合规承诺（在申报系统中操作），否则不予受理。</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收费情况</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不收费。</w:t>
      </w:r>
    </w:p>
    <w:p>
      <w:pPr>
        <w:pStyle w:val="17"/>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年审或年检</w:t>
      </w:r>
    </w:p>
    <w:p>
      <w:pPr>
        <w:spacing w:afterLines="50"/>
        <w:ind w:firstLine="640" w:firstLineChars="200"/>
        <w:jc w:val="both"/>
        <w:rPr>
          <w:rFonts w:hint="eastAsia" w:ascii="仿宋_GB2312" w:eastAsia="仿宋_GB2312"/>
          <w:sz w:val="32"/>
          <w:szCs w:val="32"/>
        </w:rPr>
        <w:sectPr>
          <w:footerReference r:id="rId3" w:type="default"/>
          <w:pgSz w:w="11906" w:h="16838"/>
          <w:pgMar w:top="1440" w:right="1800" w:bottom="1440" w:left="1800" w:header="851" w:footer="992" w:gutter="0"/>
          <w:cols w:space="720" w:num="1"/>
          <w:docGrid w:type="lines" w:linePitch="312" w:charSpace="0"/>
        </w:sectPr>
      </w:pPr>
      <w:r>
        <w:rPr>
          <w:rFonts w:hint="eastAsia" w:ascii="仿宋_GB2312" w:eastAsia="仿宋_GB2312"/>
          <w:sz w:val="32"/>
          <w:szCs w:val="32"/>
        </w:rPr>
        <w:t>无年审、年检。</w:t>
      </w:r>
    </w:p>
    <w:p>
      <w:pPr>
        <w:spacing w:afterLines="50"/>
        <w:ind w:firstLine="0" w:firstLineChars="0"/>
        <w:jc w:val="left"/>
        <w:rPr>
          <w:rFonts w:hint="eastAsia" w:ascii="CESI仿宋-GB2312" w:hAnsi="CESI仿宋-GB2312" w:eastAsia="CESI仿宋-GB2312" w:cs="CESI仿宋-GB2312"/>
          <w:b w:val="0"/>
          <w:bCs/>
          <w:sz w:val="32"/>
          <w:szCs w:val="32"/>
          <w:lang w:eastAsia="zh-CN"/>
        </w:rPr>
      </w:pPr>
      <w:r>
        <w:rPr>
          <w:rFonts w:hint="eastAsia" w:ascii="CESI仿宋-GB2312" w:hAnsi="CESI仿宋-GB2312" w:eastAsia="CESI仿宋-GB2312" w:cs="CESI仿宋-GB2312"/>
          <w:b w:val="0"/>
          <w:bCs/>
          <w:sz w:val="32"/>
          <w:szCs w:val="32"/>
          <w:lang w:eastAsia="zh-CN"/>
        </w:rPr>
        <w:t>附表</w:t>
      </w:r>
    </w:p>
    <w:p>
      <w:pPr>
        <w:spacing w:afterLines="50"/>
        <w:ind w:firstLine="0" w:firstLineChars="0"/>
        <w:jc w:val="center"/>
        <w:rPr>
          <w:rFonts w:hint="eastAsia" w:ascii="仿宋_GB2312"/>
          <w:szCs w:val="32"/>
        </w:rPr>
      </w:pPr>
      <w:r>
        <w:rPr>
          <w:rFonts w:hint="eastAsia" w:ascii="方正小标宋简体" w:eastAsia="方正小标宋简体"/>
          <w:b/>
          <w:sz w:val="44"/>
          <w:szCs w:val="44"/>
        </w:rPr>
        <w:t>202</w:t>
      </w:r>
      <w:r>
        <w:rPr>
          <w:rFonts w:hint="eastAsia" w:ascii="方正小标宋简体" w:eastAsia="方正小标宋简体"/>
          <w:b/>
          <w:sz w:val="44"/>
          <w:szCs w:val="44"/>
          <w:lang w:val="en-US" w:eastAsia="zh-CN"/>
        </w:rPr>
        <w:t>4</w:t>
      </w:r>
      <w:r>
        <w:rPr>
          <w:rFonts w:hint="eastAsia" w:ascii="方正小标宋简体" w:eastAsia="方正小标宋简体"/>
          <w:b/>
          <w:sz w:val="44"/>
          <w:szCs w:val="44"/>
        </w:rPr>
        <w:t>年</w:t>
      </w:r>
      <w:r>
        <w:rPr>
          <w:rFonts w:hint="eastAsia" w:ascii="方正小标宋简体" w:eastAsia="方正小标宋简体"/>
          <w:b/>
          <w:sz w:val="44"/>
          <w:szCs w:val="44"/>
          <w:lang w:eastAsia="zh-CN"/>
        </w:rPr>
        <w:t>度</w:t>
      </w:r>
      <w:r>
        <w:rPr>
          <w:rFonts w:hint="eastAsia" w:ascii="方正小标宋简体" w:eastAsia="方正小标宋简体"/>
          <w:b/>
          <w:sz w:val="44"/>
          <w:szCs w:val="44"/>
        </w:rPr>
        <w:t>知识产权专项资金课程培训重点主题清单</w:t>
      </w:r>
    </w:p>
    <w:tbl>
      <w:tblPr>
        <w:tblStyle w:val="10"/>
        <w:tblW w:w="13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797"/>
        <w:gridCol w:w="6785"/>
        <w:gridCol w:w="4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5" w:type="dxa"/>
            <w:noWrap w:val="0"/>
            <w:vAlign w:val="center"/>
          </w:tcPr>
          <w:p>
            <w:pPr>
              <w:spacing w:line="240" w:lineRule="auto"/>
              <w:ind w:firstLine="0" w:firstLineChars="0"/>
              <w:jc w:val="center"/>
              <w:rPr>
                <w:b/>
              </w:rPr>
            </w:pPr>
            <w:r>
              <w:rPr>
                <w:rFonts w:hint="eastAsia"/>
                <w:b/>
              </w:rPr>
              <w:t>序号</w:t>
            </w:r>
          </w:p>
        </w:tc>
        <w:tc>
          <w:tcPr>
            <w:tcW w:w="1797" w:type="dxa"/>
            <w:noWrap w:val="0"/>
            <w:vAlign w:val="center"/>
          </w:tcPr>
          <w:p>
            <w:pPr>
              <w:spacing w:line="240" w:lineRule="auto"/>
              <w:ind w:firstLine="0" w:firstLineChars="0"/>
              <w:jc w:val="center"/>
              <w:rPr>
                <w:rFonts w:hint="eastAsia" w:eastAsia="宋体"/>
                <w:b/>
                <w:lang w:eastAsia="zh-CN"/>
              </w:rPr>
            </w:pPr>
            <w:r>
              <w:rPr>
                <w:rFonts w:hint="eastAsia"/>
                <w:b/>
                <w:lang w:eastAsia="zh-CN"/>
              </w:rPr>
              <w:t>培训主题</w:t>
            </w:r>
          </w:p>
        </w:tc>
        <w:tc>
          <w:tcPr>
            <w:tcW w:w="6785" w:type="dxa"/>
            <w:noWrap w:val="0"/>
            <w:vAlign w:val="center"/>
          </w:tcPr>
          <w:p>
            <w:pPr>
              <w:spacing w:line="240" w:lineRule="auto"/>
              <w:ind w:firstLine="0" w:firstLineChars="0"/>
              <w:jc w:val="center"/>
              <w:rPr>
                <w:b/>
              </w:rPr>
            </w:pPr>
            <w:r>
              <w:rPr>
                <w:rFonts w:hint="eastAsia"/>
                <w:b/>
              </w:rPr>
              <w:t>培训需求内容</w:t>
            </w:r>
          </w:p>
        </w:tc>
        <w:tc>
          <w:tcPr>
            <w:tcW w:w="4207" w:type="dxa"/>
            <w:noWrap w:val="0"/>
            <w:vAlign w:val="center"/>
          </w:tcPr>
          <w:p>
            <w:pPr>
              <w:spacing w:line="240" w:lineRule="auto"/>
              <w:ind w:firstLine="0" w:firstLineChars="0"/>
              <w:jc w:val="center"/>
              <w:rPr>
                <w:b/>
              </w:rPr>
            </w:pPr>
            <w:r>
              <w:rPr>
                <w:rFonts w:hint="eastAsia"/>
                <w:b/>
              </w:rPr>
              <w:t>任务来源、依据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sz w:val="18"/>
                <w:szCs w:val="18"/>
                <w:highlight w:val="none"/>
                <w:lang w:val="en-US" w:eastAsia="zh-CN"/>
              </w:rPr>
              <w:t>“20+8”高价值知识产权培育培训</w:t>
            </w:r>
          </w:p>
        </w:tc>
        <w:tc>
          <w:tcPr>
            <w:tcW w:w="67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sz w:val="18"/>
                <w:szCs w:val="18"/>
                <w:highlight w:val="none"/>
              </w:rPr>
              <w:t>“20+8”重点产业集群各企业知识产权相关人员</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default" w:ascii="CESI仿宋-GB2312" w:hAnsi="CESI仿宋-GB2312" w:eastAsia="CESI仿宋-GB2312" w:cs="CESI仿宋-GB2312"/>
                <w:sz w:val="18"/>
                <w:szCs w:val="18"/>
                <w:highlight w:val="none"/>
              </w:rPr>
            </w:pPr>
            <w:r>
              <w:rPr>
                <w:rFonts w:hint="eastAsia" w:ascii="CESI仿宋-GB2312" w:hAnsi="CESI仿宋-GB2312" w:eastAsia="CESI仿宋-GB2312" w:cs="CESI仿宋-GB2312"/>
                <w:b/>
                <w:bCs/>
                <w:sz w:val="18"/>
                <w:szCs w:val="18"/>
                <w:highlight w:val="none"/>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b/>
                <w:bCs/>
                <w:sz w:val="18"/>
                <w:szCs w:val="18"/>
                <w:highlight w:val="none"/>
              </w:rPr>
            </w:pPr>
            <w:r>
              <w:rPr>
                <w:rFonts w:hint="eastAsia" w:ascii="CESI仿宋-GB2312" w:hAnsi="CESI仿宋-GB2312" w:eastAsia="CESI仿宋-GB2312" w:cs="CESI仿宋-GB2312"/>
                <w:b/>
                <w:bCs/>
                <w:sz w:val="18"/>
                <w:szCs w:val="18"/>
                <w:highlight w:val="none"/>
              </w:rPr>
              <w:t>主要内容：</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rPr>
            </w:pPr>
            <w:r>
              <w:rPr>
                <w:rFonts w:hint="default" w:ascii="CESI仿宋-GB2312" w:hAnsi="CESI仿宋-GB2312" w:eastAsia="CESI仿宋-GB2312" w:cs="CESI仿宋-GB2312"/>
                <w:sz w:val="18"/>
                <w:szCs w:val="18"/>
                <w:highlight w:val="none"/>
              </w:rPr>
              <w:t>1.面向20大战略性新兴产业集群企业，就高价值专利的挖掘、培育</w:t>
            </w:r>
            <w:r>
              <w:rPr>
                <w:rFonts w:hint="eastAsia" w:ascii="CESI仿宋-GB2312" w:hAnsi="CESI仿宋-GB2312" w:eastAsia="CESI仿宋-GB2312" w:cs="CESI仿宋-GB2312"/>
                <w:sz w:val="18"/>
                <w:szCs w:val="18"/>
                <w:highlight w:val="none"/>
                <w:lang w:eastAsia="zh-CN"/>
              </w:rPr>
              <w:t>、申请前评估、授权后价值评估以及</w:t>
            </w:r>
            <w:r>
              <w:rPr>
                <w:rFonts w:hint="default" w:ascii="CESI仿宋-GB2312" w:hAnsi="CESI仿宋-GB2312" w:eastAsia="CESI仿宋-GB2312" w:cs="CESI仿宋-GB2312"/>
                <w:sz w:val="18"/>
                <w:szCs w:val="18"/>
                <w:highlight w:val="none"/>
              </w:rPr>
              <w:t>非正常专利规避等进行讲解；</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rPr>
            </w:pPr>
            <w:r>
              <w:rPr>
                <w:rFonts w:hint="default" w:ascii="CESI仿宋-GB2312" w:hAnsi="CESI仿宋-GB2312" w:eastAsia="CESI仿宋-GB2312" w:cs="CESI仿宋-GB2312"/>
                <w:sz w:val="18"/>
                <w:szCs w:val="18"/>
                <w:highlight w:val="none"/>
              </w:rPr>
              <w:t>2.面向8大未来产业集群企业，就高价值专利的挖掘、培育</w:t>
            </w:r>
            <w:r>
              <w:rPr>
                <w:rFonts w:hint="eastAsia" w:ascii="CESI仿宋-GB2312" w:hAnsi="CESI仿宋-GB2312" w:eastAsia="CESI仿宋-GB2312" w:cs="CESI仿宋-GB2312"/>
                <w:sz w:val="18"/>
                <w:szCs w:val="18"/>
                <w:highlight w:val="none"/>
                <w:lang w:eastAsia="zh-CN"/>
              </w:rPr>
              <w:t>、申请前评估、授权后价值评估以及</w:t>
            </w:r>
            <w:r>
              <w:rPr>
                <w:rFonts w:hint="default" w:ascii="CESI仿宋-GB2312" w:hAnsi="CESI仿宋-GB2312" w:eastAsia="CESI仿宋-GB2312" w:cs="CESI仿宋-GB2312"/>
                <w:sz w:val="18"/>
                <w:szCs w:val="18"/>
                <w:highlight w:val="none"/>
              </w:rPr>
              <w:t>非正常专利规避等进行讲解；</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bCs w:val="0"/>
                <w:sz w:val="18"/>
                <w:szCs w:val="18"/>
                <w:highlight w:val="none"/>
              </w:rPr>
            </w:pP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rPr>
            </w:pPr>
            <w:r>
              <w:rPr>
                <w:rFonts w:hint="eastAsia" w:ascii="CESI仿宋-GB2312" w:hAnsi="CESI仿宋-GB2312" w:eastAsia="CESI仿宋-GB2312" w:cs="CESI仿宋-GB2312"/>
                <w:sz w:val="18"/>
                <w:szCs w:val="18"/>
                <w:highlight w:val="none"/>
                <w:lang w:val="en-US" w:eastAsia="zh-CN"/>
              </w:rPr>
              <w:t>《深圳市人民政府关于发展壮大战略性新兴产业集群和培育发展未来产业的意见》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海外专利审查业务解析与海外专利布局策略</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lang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sz w:val="18"/>
                <w:szCs w:val="18"/>
                <w:highlight w:val="none"/>
              </w:rPr>
              <w:t>各企事业单位、高等院校、科研机构等知识产权相关人员、企业知识产权管理部门、律师事务所、知识产权服务机构从业人员等</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lang w:eastAsia="zh-CN"/>
              </w:rPr>
            </w:pPr>
            <w:r>
              <w:rPr>
                <w:rFonts w:hint="default" w:ascii="CESI仿宋-GB2312" w:hAnsi="CESI仿宋-GB2312" w:eastAsia="CESI仿宋-GB2312" w:cs="CESI仿宋-GB2312"/>
                <w:sz w:val="18"/>
                <w:szCs w:val="18"/>
                <w:highlight w:val="none"/>
                <w:lang w:eastAsia="zh-CN"/>
              </w:rPr>
              <w:t>1.专利申请预审业务解析与企业专利挖掘与撰写</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lang w:eastAsia="zh-CN"/>
              </w:rPr>
            </w:pPr>
            <w:r>
              <w:rPr>
                <w:rFonts w:hint="default" w:ascii="CESI仿宋-GB2312" w:hAnsi="CESI仿宋-GB2312" w:eastAsia="CESI仿宋-GB2312" w:cs="CESI仿宋-GB2312"/>
                <w:sz w:val="18"/>
                <w:szCs w:val="18"/>
                <w:highlight w:val="none"/>
                <w:lang w:eastAsia="zh-CN"/>
              </w:rPr>
              <w:t>2.海外专利审查业务介绍</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lang w:eastAsia="zh-CN"/>
              </w:rPr>
            </w:pPr>
            <w:r>
              <w:rPr>
                <w:rFonts w:hint="default" w:ascii="CESI仿宋-GB2312" w:hAnsi="CESI仿宋-GB2312" w:eastAsia="CESI仿宋-GB2312" w:cs="CESI仿宋-GB2312"/>
                <w:sz w:val="18"/>
                <w:szCs w:val="18"/>
                <w:highlight w:val="none"/>
                <w:lang w:eastAsia="zh-CN"/>
              </w:rPr>
              <w:t>3.海外高价值专利培育与布局、跨境交易实务与美国专利风险防范</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sz w:val="18"/>
                <w:szCs w:val="18"/>
                <w:highlight w:val="none"/>
                <w:lang w:eastAsia="zh-CN"/>
              </w:rPr>
              <w:t>4.专利运营与可持续发展</w:t>
            </w:r>
            <w:r>
              <w:rPr>
                <w:rFonts w:hint="eastAsia" w:ascii="CESI仿宋-GB2312" w:hAnsi="CESI仿宋-GB2312" w:eastAsia="CESI仿宋-GB2312" w:cs="CESI仿宋-GB2312"/>
                <w:sz w:val="18"/>
                <w:szCs w:val="18"/>
                <w:highlight w:val="none"/>
                <w:lang w:eastAsia="zh-CN"/>
              </w:rPr>
              <w:t>。</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落实《知识产权强国建设纲要（2021－2035年）》中对于培育国际化、市场化、专业化知识产权服务机构的工作要求，全面提升服务机构涉外服务能力。</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落实国务院办公厅关于《专利转化运用专项行动方案（2023—2025年）》中“梳理盘活高校和科研机构存量专利”工作要求，通过培训提升服务机构服务科研机构专利转化的能力，实现推动一批高价值专利实现产业化，高校和科研机构专利产业化率明显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商标业务指导和海外布局培训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sz w:val="18"/>
                <w:szCs w:val="18"/>
                <w:highlight w:val="none"/>
              </w:rPr>
              <w:t>各企事业单位、高等院校、科研机构等知识产权相关人员、企业知识产权管理部门、律师事务所、知识产权服务机构从业人员等</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ascii="CESI仿宋-GB2312" w:hAnsi="CESI仿宋-GB2312" w:eastAsia="CESI仿宋-GB2312" w:cs="CESI仿宋-GB2312"/>
                <w:bCs/>
                <w:color w:val="000000"/>
                <w:kern w:val="2"/>
                <w:sz w:val="18"/>
                <w:szCs w:val="18"/>
                <w:highlight w:val="none"/>
                <w:lang w:val="en-US" w:eastAsia="zh-CN" w:bidi="ar-SA"/>
              </w:rPr>
            </w:pPr>
            <w:r>
              <w:rPr>
                <w:rFonts w:hint="eastAsia" w:ascii="CESI仿宋-GB2312" w:hAnsi="CESI仿宋-GB2312" w:eastAsia="CESI仿宋-GB2312" w:cs="CESI仿宋-GB2312"/>
                <w:sz w:val="18"/>
                <w:szCs w:val="18"/>
                <w:highlight w:val="none"/>
              </w:rPr>
              <w:t>1.国内外商标申请规则指导；2.海外商标布局实务培训与案例分析；3.海外商标侵权处理指导；4.集体商标、证明商标注册实务。</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深圳市人民政府关于印发 2024 年市政府重点工作和推动高质量发展“十大计划”责任分工一览表的通知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4"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国际标准ISO56005《创新管理-知识产权管理指南》培训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sz w:val="18"/>
                <w:szCs w:val="18"/>
                <w:highlight w:val="none"/>
                <w:lang w:val="en-US" w:eastAsia="zh-CN"/>
              </w:rPr>
              <w:t>各企事业单位、高等院校、科研机构等知识产权相关人员、企业知识产权管理部门、律师事务所、知识产权服务机构从业人员等。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pStyle w:val="17"/>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sz w:val="18"/>
                <w:szCs w:val="18"/>
                <w:highlight w:val="none"/>
                <w:lang w:val="en-US" w:eastAsia="zh-CN"/>
              </w:rPr>
            </w:pPr>
            <w:r>
              <w:rPr>
                <w:rFonts w:hint="default" w:ascii="CESI仿宋-GB2312" w:hAnsi="CESI仿宋-GB2312" w:eastAsia="CESI仿宋-GB2312" w:cs="CESI仿宋-GB2312"/>
                <w:sz w:val="18"/>
                <w:szCs w:val="18"/>
                <w:highlight w:val="none"/>
                <w:lang w:val="en-US" w:eastAsia="zh-CN"/>
              </w:rPr>
              <w:t>1</w:t>
            </w:r>
            <w:r>
              <w:rPr>
                <w:rFonts w:hint="eastAsia" w:ascii="CESI仿宋-GB2312" w:hAnsi="CESI仿宋-GB2312" w:eastAsia="CESI仿宋-GB2312" w:cs="CESI仿宋-GB2312"/>
                <w:sz w:val="18"/>
                <w:szCs w:val="18"/>
                <w:highlight w:val="none"/>
                <w:lang w:val="en-US" w:eastAsia="zh-CN"/>
              </w:rPr>
              <w:t>.</w:t>
            </w:r>
            <w:r>
              <w:rPr>
                <w:rFonts w:hint="default" w:ascii="CESI仿宋-GB2312" w:hAnsi="CESI仿宋-GB2312" w:eastAsia="CESI仿宋-GB2312" w:cs="CESI仿宋-GB2312"/>
                <w:sz w:val="18"/>
                <w:szCs w:val="18"/>
                <w:highlight w:val="none"/>
                <w:lang w:val="en-US" w:eastAsia="zh-CN"/>
              </w:rPr>
              <w:t>ISO56005发展历程、基本介绍及标准结构；</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sz w:val="18"/>
                <w:szCs w:val="18"/>
                <w:highlight w:val="none"/>
                <w:lang w:val="en-US" w:eastAsia="zh-CN"/>
              </w:rPr>
            </w:pPr>
            <w:r>
              <w:rPr>
                <w:rFonts w:hint="default" w:ascii="CESI仿宋-GB2312" w:hAnsi="CESI仿宋-GB2312" w:eastAsia="CESI仿宋-GB2312" w:cs="CESI仿宋-GB2312"/>
                <w:sz w:val="18"/>
                <w:szCs w:val="18"/>
                <w:highlight w:val="none"/>
                <w:lang w:val="en-US" w:eastAsia="zh-CN"/>
              </w:rPr>
              <w:t>2</w:t>
            </w:r>
            <w:r>
              <w:rPr>
                <w:rFonts w:hint="eastAsia" w:ascii="CESI仿宋-GB2312" w:hAnsi="CESI仿宋-GB2312" w:eastAsia="CESI仿宋-GB2312" w:cs="CESI仿宋-GB2312"/>
                <w:sz w:val="18"/>
                <w:szCs w:val="18"/>
                <w:highlight w:val="none"/>
                <w:lang w:val="en-US" w:eastAsia="zh-CN"/>
              </w:rPr>
              <w:t>.</w:t>
            </w:r>
            <w:r>
              <w:rPr>
                <w:rFonts w:hint="default" w:ascii="CESI仿宋-GB2312" w:hAnsi="CESI仿宋-GB2312" w:eastAsia="CESI仿宋-GB2312" w:cs="CESI仿宋-GB2312"/>
                <w:sz w:val="18"/>
                <w:szCs w:val="18"/>
                <w:highlight w:val="none"/>
                <w:lang w:val="en-US" w:eastAsia="zh-CN"/>
              </w:rPr>
              <w:t>知识产权战略与业务战略、创新战略的三位一体；</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sz w:val="18"/>
                <w:szCs w:val="18"/>
                <w:highlight w:val="none"/>
                <w:lang w:val="en-US" w:eastAsia="zh-CN"/>
              </w:rPr>
              <w:t>3</w:t>
            </w:r>
            <w:r>
              <w:rPr>
                <w:rFonts w:hint="eastAsia" w:ascii="CESI仿宋-GB2312" w:hAnsi="CESI仿宋-GB2312" w:eastAsia="CESI仿宋-GB2312" w:cs="CESI仿宋-GB2312"/>
                <w:sz w:val="18"/>
                <w:szCs w:val="18"/>
                <w:highlight w:val="none"/>
                <w:lang w:val="en-US" w:eastAsia="zh-CN"/>
              </w:rPr>
              <w:t>.</w:t>
            </w:r>
            <w:r>
              <w:rPr>
                <w:rFonts w:hint="default" w:ascii="CESI仿宋-GB2312" w:hAnsi="CESI仿宋-GB2312" w:eastAsia="CESI仿宋-GB2312" w:cs="CESI仿宋-GB2312"/>
                <w:sz w:val="18"/>
                <w:szCs w:val="18"/>
                <w:highlight w:val="none"/>
                <w:lang w:val="en-US" w:eastAsia="zh-CN"/>
              </w:rPr>
              <w:t>创新过程中的知识产权综合管理策略以及相应的知识产权工具。</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《国家知识产权局 工业和信息化部关于知识产权助力专精特新中小企业创新发展若干措施的通知》（国知发运字〔2022〕38号）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8"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数据知识产权业务培训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sz w:val="18"/>
                <w:szCs w:val="18"/>
                <w:highlight w:val="none"/>
                <w:lang w:val="en-US" w:eastAsia="zh-CN"/>
              </w:rPr>
              <w:t>各企事业单位、高等院校、科研机构等知识产权相关人员、企业知识产权管理部门、律师事务所、知识产权服务机构从业人员等。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sz w:val="18"/>
                <w:szCs w:val="18"/>
                <w:highlight w:val="none"/>
                <w:lang w:val="en-US" w:eastAsia="zh-CN"/>
              </w:rPr>
            </w:pPr>
            <w:r>
              <w:rPr>
                <w:rFonts w:hint="default" w:ascii="CESI仿宋-GB2312" w:hAnsi="CESI仿宋-GB2312" w:eastAsia="CESI仿宋-GB2312" w:cs="CESI仿宋-GB2312"/>
                <w:sz w:val="18"/>
                <w:szCs w:val="18"/>
                <w:highlight w:val="none"/>
                <w:lang w:val="en-US" w:eastAsia="zh-CN"/>
              </w:rPr>
              <w:t>1.数据知识产权概念讲解；</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sz w:val="18"/>
                <w:szCs w:val="18"/>
                <w:highlight w:val="none"/>
                <w:lang w:val="en-US" w:eastAsia="zh-CN"/>
              </w:rPr>
            </w:pPr>
            <w:r>
              <w:rPr>
                <w:rFonts w:hint="default" w:ascii="CESI仿宋-GB2312" w:hAnsi="CESI仿宋-GB2312" w:eastAsia="CESI仿宋-GB2312" w:cs="CESI仿宋-GB2312"/>
                <w:sz w:val="18"/>
                <w:szCs w:val="18"/>
                <w:highlight w:val="none"/>
                <w:lang w:val="en-US" w:eastAsia="zh-CN"/>
              </w:rPr>
              <w:t>2.数据知识产权实际应用场景与案例分析；</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sz w:val="18"/>
                <w:szCs w:val="18"/>
                <w:highlight w:val="none"/>
                <w:lang w:val="en-US" w:eastAsia="zh-CN"/>
              </w:rPr>
              <w:t>3.数据知识产权登记培训。</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按照《国家知识产权局办公室关于深化数据知识产权地方试点工作的通知》（国知办函规字〔2023〕999号）要求，建立健全数据知识产权登记管理体系，提高登记数量、质量，加强数据知识产权保护和运用。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知识产权军民融合申请与运用培训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各企事业单位、高等院校、科研机构等知识产权相关人员、企业知识产权管理部门、律师事务所、知识产权服务机构从业人员等。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spacing w:line="360" w:lineRule="exact"/>
              <w:ind w:firstLine="0" w:firstLineChars="0"/>
              <w:rPr>
                <w:rFonts w:hint="default" w:ascii="CESI仿宋-GB2312" w:hAnsi="CESI仿宋-GB2312" w:eastAsia="CESI仿宋-GB2312" w:cs="CESI仿宋-GB2312"/>
                <w:b/>
                <w:bCs/>
                <w:sz w:val="18"/>
                <w:szCs w:val="18"/>
                <w:lang w:val="en-US" w:eastAsia="zh-CN"/>
              </w:rPr>
            </w:pPr>
            <w:r>
              <w:rPr>
                <w:rFonts w:hint="default" w:ascii="CESI仿宋-GB2312" w:hAnsi="CESI仿宋-GB2312" w:eastAsia="CESI仿宋-GB2312" w:cs="CESI仿宋-GB2312"/>
                <w:kern w:val="2"/>
                <w:sz w:val="18"/>
                <w:szCs w:val="18"/>
                <w:highlight w:val="none"/>
                <w:lang w:val="en-US" w:eastAsia="zh-CN" w:bidi="ar-SA"/>
              </w:rPr>
              <w:t>1.国防专利申请培训；2.军民双方专利转化运用培训。</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广东省人民政府关于印发广东省深入实施知识产权战略推动创新驱动发展行动计划的通知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2"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软件正版化培训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相关单位负责软件正版化工作人员；各企事业单位工作人员等。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widowControl/>
              <w:numPr>
                <w:ilvl w:val="0"/>
                <w:numId w:val="0"/>
              </w:numPr>
              <w:spacing w:line="360" w:lineRule="exact"/>
              <w:ind w:left="0" w:leftChars="0" w:firstLine="0" w:firstLineChars="0"/>
              <w:jc w:val="left"/>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numPr>
                <w:ilvl w:val="0"/>
                <w:numId w:val="0"/>
              </w:numPr>
              <w:spacing w:line="360" w:lineRule="exact"/>
              <w:ind w:leftChars="0"/>
              <w:rPr>
                <w:rFonts w:hint="eastAsia" w:ascii="CESI仿宋-GB2312" w:hAnsi="CESI仿宋-GB2312" w:eastAsia="CESI仿宋-GB2312" w:cs="CESI仿宋-GB2312"/>
                <w:bCs/>
                <w:color w:val="000000"/>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围绕软件正版化类制度建设和责任落实、软件日常使用管理、计算机软件安装情况等软件正版化检查内容开展培训。</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default"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sz w:val="18"/>
                <w:szCs w:val="18"/>
                <w:highlight w:val="none"/>
                <w:lang w:val="en-US" w:eastAsia="zh-CN"/>
              </w:rPr>
              <w:t>1.《关于对深圳、江门市使用正版软件工作情况进行检查的通知》；</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2.《关于开展2022年教育和医疗行业单位使用正版软件工作检查的通知》；</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《关于做好2022 年广东省推进企业使用正版软件工作重点单位验收工作的通知》。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8"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知识产权服务能力提升培训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各知识产权服务机构有关负责人、工作人员。</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widowControl/>
              <w:numPr>
                <w:ilvl w:val="0"/>
                <w:numId w:val="0"/>
              </w:numPr>
              <w:spacing w:line="360" w:lineRule="exact"/>
              <w:ind w:left="0" w:leftChars="0" w:firstLine="0" w:firstLineChars="0"/>
              <w:jc w:val="left"/>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面向我市知识产权服务业从业人员，提供专业培训，主要内容包括：</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1.围绕专利撰写、知识产权鉴定评估、法律咨询、运用转化、信息处理等主要服务内容，开展专业培训与实务讲解，着力提升我市知识产权服务业服务水平；</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Cs/>
                <w:color w:val="000000"/>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2.知识产权服务业行业规范、非正常专利代理行为规避等。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《中共深圳市委 深圳市人民政府关于加快推进服务业高质量发展的意见》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6"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深圳市知识产权公共服务能力提升培训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我市知识产权公共服务网点节点及面向创新创业主体和社会公众开展知识产权公共服务的社会化服务机构。</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widowControl/>
              <w:numPr>
                <w:ilvl w:val="0"/>
                <w:numId w:val="0"/>
              </w:numPr>
              <w:spacing w:line="360" w:lineRule="exact"/>
              <w:ind w:left="0" w:leftChars="0" w:firstLine="0" w:firstLineChars="0"/>
              <w:jc w:val="left"/>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面向深圳市及各区已有的知识产权网点节点及面向创新创业主体和社会公众开展知识产权公共服务的社会化服务机构，提供以下培训：</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1.《国家知识产权信息公共服务网点备案实施办法》《技术与创新支持中心（TISC）建设实施办法》《深圳市知识产权公共服务事项办事指南（第一版）》《深圳市知识产权公共服务事项清单（第一版）》等政策解读；</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2.聚焦深圳知识产权公共服务共性问题，邀请国家级优秀公共服务网点进行经验分享；</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lang w:val="en-US" w:eastAsia="zh-CN"/>
              </w:rPr>
            </w:pPr>
            <w:r>
              <w:rPr>
                <w:rFonts w:hint="eastAsia" w:ascii="CESI仿宋-GB2312" w:hAnsi="CESI仿宋-GB2312" w:eastAsia="CESI仿宋-GB2312" w:cs="CESI仿宋-GB2312"/>
                <w:kern w:val="2"/>
                <w:sz w:val="18"/>
                <w:szCs w:val="18"/>
                <w:highlight w:val="none"/>
                <w:lang w:val="en-US" w:eastAsia="zh-CN" w:bidi="ar-SA"/>
              </w:rPr>
              <w:t>3.介绍、推广深圳市知识产权公共服务平台、专题数据库等服务资源。</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1.《知识产权公共服务“十四五”规划》</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2.《知识产权公共服务普惠工程实施方案（2023—2025年）》</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3.国家知识产权局办公室关于开展知识产权公共服务标准化城市建设试点工作的通知</w:t>
            </w:r>
            <w:r>
              <w:rPr>
                <w:rFonts w:hint="eastAsia" w:ascii="CESI仿宋-GB2312" w:hAnsi="CESI仿宋-GB2312" w:eastAsia="CESI仿宋-GB2312" w:cs="CESI仿宋-GB2312"/>
                <w:sz w:val="18"/>
                <w:szCs w:val="18"/>
                <w:highlight w:val="none"/>
                <w:lang w:val="en-US" w:eastAsia="zh-CN"/>
              </w:rPr>
              <w:br w:type="textWrapping"/>
            </w:r>
            <w:r>
              <w:rPr>
                <w:rFonts w:hint="eastAsia" w:ascii="CESI仿宋-GB2312" w:hAnsi="CESI仿宋-GB2312" w:eastAsia="CESI仿宋-GB2312" w:cs="CESI仿宋-GB2312"/>
                <w:sz w:val="18"/>
                <w:szCs w:val="18"/>
                <w:highlight w:val="none"/>
                <w:lang w:val="en-US" w:eastAsia="zh-CN"/>
              </w:rPr>
              <w:t>4.《深圳市知识产权公共服务普惠工程实施方案》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粤港澳青年知识产权人才交流课堂</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各企事业单位知识产权部门中层以上领导，或拥有五年以上知识产权相关领域从业经验的学者及实务工作者。</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widowControl/>
              <w:numPr>
                <w:ilvl w:val="0"/>
                <w:numId w:val="0"/>
              </w:numPr>
              <w:spacing w:line="360" w:lineRule="exact"/>
              <w:ind w:left="0" w:leftChars="0" w:firstLine="0" w:firstLineChars="0"/>
              <w:jc w:val="left"/>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widowControl/>
              <w:numPr>
                <w:ilvl w:val="0"/>
                <w:numId w:val="0"/>
              </w:numPr>
              <w:spacing w:line="360" w:lineRule="exact"/>
              <w:ind w:left="0" w:leftChars="0" w:firstLine="0" w:firstLineChars="0"/>
              <w:jc w:val="left"/>
              <w:rPr>
                <w:rFonts w:hint="eastAsia" w:ascii="CESI仿宋-GB2312" w:hAnsi="CESI仿宋-GB2312" w:eastAsia="CESI仿宋-GB2312" w:cs="CESI仿宋-GB2312"/>
                <w:bCs/>
                <w:color w:val="000000"/>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邀请粤港澳三地讲师，围绕三地最新知识产权制度规则、知识产权发展现状、重点产业领域专利布局、知识产权跨境交易与转化运用、商标品牌的打造与保护、粤港澳知识产权合作交流机制等问题进行讲解与交流。</w:t>
            </w:r>
          </w:p>
        </w:tc>
        <w:tc>
          <w:tcPr>
            <w:tcW w:w="4207" w:type="dxa"/>
            <w:noWrap w:val="0"/>
            <w:vAlign w:val="center"/>
          </w:tcPr>
          <w:p>
            <w:pPr>
              <w:rPr>
                <w:rFonts w:hint="default"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《深圳市推进粤港澳大湾区高水平人才高地建设方案》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知识产权政策法规及有关制度解析</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市知识产权联席会议成员单位知识产权相关部门从业人员，各企事业单位、高等院校、科研机构等知识产权相关人员、企业知识产权管理部门、律师事务所、知识产权服务机构从业人员等。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1.知识产权宏观政策解读，包括但不限于：习近平总书记关于知识产权保护的重要论述精神，《知识产权强国建设纲要（2021-2035年）》、《“十四五”国家知识产权保护和运用规划》、《深圳市知识产权保护和运用“十四五”规划》等规划纲要，深圳建设中国特色社会主义先行示范区综合改革试点实施方案、粤港澳大湾区发展规划纲要中知识产权相关内容，粤港澳大湾区知识产权规则衔接，以及最新出台的知识产权相关法律法规、政策文件等解读；</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2.《中华人民共和国专利法实施细则(2023年修订)》解读与宣贯；</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lang w:val="en-US" w:eastAsia="zh-CN"/>
              </w:rPr>
            </w:pPr>
            <w:r>
              <w:rPr>
                <w:rFonts w:hint="eastAsia" w:ascii="CESI仿宋-GB2312" w:hAnsi="CESI仿宋-GB2312" w:eastAsia="CESI仿宋-GB2312" w:cs="CESI仿宋-GB2312"/>
                <w:kern w:val="2"/>
                <w:sz w:val="18"/>
                <w:szCs w:val="18"/>
                <w:highlight w:val="none"/>
                <w:lang w:val="en-US" w:eastAsia="zh-CN" w:bidi="ar-SA"/>
              </w:rPr>
              <w:t>3.欧洲统一专利法院制度解析。</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国家知识产权局关于开展年度知识产权保护工作检查考核的通知、广东省地级以上市知识产权保护工作考核实施方案等。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知识产权保护能力提升培训</w:t>
            </w:r>
          </w:p>
        </w:tc>
        <w:tc>
          <w:tcPr>
            <w:tcW w:w="6785"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1.我市企事业单位、行业产业商（协）会或其他机构知识产权相关部门从业人员；2.市知识产权联席会议成员单位知识产权保护相关部门人员等。</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240" w:lineRule="auto"/>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1.解读《地理标志产品保护办法》、《广东省知识产权保护条例》、《广东省地理标志条例》、《广东省版权条例》、《电子商务平台知识产权保护管理》国家标准、《跨境电子商务知识产权保护指南》、国家知识产权局《企业知识产权保护指南》、《展会知识产权保护指引》等最新出台的知识产权相关法律法规及政策文件；</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2.企业完善专利、商标、版权、商业秘密、地理标志等各类知识产权保护制度体系、加强知识产权保护以及相关案例解析等；</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3.企业开展知识产权合规经营，建立知识产权风险防控体系，加强自我保护能力，提升知识产权确权维权意识等；</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4.讲解《专利侵权纠纷行政裁决办案指南》、《专利纠纷行政调解办案指南》等；</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5.讲解新领域、新业态知识产权特点及相应有效的预警、保护措施等相关知识；</w:t>
            </w:r>
          </w:p>
          <w:p>
            <w:pPr>
              <w:rPr>
                <w:rFonts w:hint="eastAsia" w:ascii="Times New Roman" w:hAnsi="Times New Roman" w:eastAsia="宋体" w:cs="Times New Roman"/>
                <w:kern w:val="2"/>
                <w:sz w:val="21"/>
                <w:szCs w:val="24"/>
                <w:lang w:val="en-US" w:eastAsia="zh-CN" w:bidi="ar-SA"/>
              </w:rPr>
            </w:pPr>
            <w:r>
              <w:rPr>
                <w:rFonts w:hint="eastAsia" w:ascii="CESI仿宋-GB2312" w:hAnsi="CESI仿宋-GB2312" w:eastAsia="CESI仿宋-GB2312" w:cs="CESI仿宋-GB2312"/>
                <w:kern w:val="2"/>
                <w:sz w:val="18"/>
                <w:szCs w:val="18"/>
                <w:highlight w:val="none"/>
                <w:lang w:val="en-US" w:eastAsia="zh-CN" w:bidi="ar-SA"/>
              </w:rPr>
              <w:t>6.讲解如何综合运用法律、行政、经济、技术、社会治理等手段有效提升知识产权保护效能。</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关于强化知识产权保护的实施方案》；国家知识产权局关于开展年度知识产权保护工作检查考核的通知、广东省地级以上市知识产权保护工作考核实施方案；《广东省市场监督管理局办公室关于开展2024年地理标志保护专项行动的通知》、《广东省知识产权局转发国家知识产权局关于印发&lt;展会知识产权保护指引&gt;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default"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sz w:val="18"/>
                <w:szCs w:val="18"/>
                <w:highlight w:val="none"/>
                <w:lang w:val="en-US" w:eastAsia="zh-CN"/>
              </w:rPr>
              <w:t>河套、前海地区深港知识产权制度差异及实务规则讲解</w:t>
            </w:r>
          </w:p>
        </w:tc>
        <w:tc>
          <w:tcPr>
            <w:tcW w:w="6785" w:type="dxa"/>
            <w:noWrap w:val="0"/>
            <w:vAlign w:val="center"/>
          </w:tcPr>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1.河套、前海地区各企事业单位、高等院校、科研机构等知识产权相关人员、企业知识产权管理部门、律师事务所、知识产权服务机构从业人员等；</w:t>
            </w:r>
          </w:p>
          <w:p>
            <w:pPr>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2.我市企事业单位、行业产业商（协）会或其他机构知识产权相关部门从业人员等。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pStyle w:val="3"/>
              <w:numPr>
                <w:ilvl w:val="0"/>
                <w:numId w:val="0"/>
              </w:num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rPr>
                <w:rFonts w:hint="eastAsia"/>
                <w:lang w:val="en-US" w:eastAsia="zh-CN"/>
              </w:rPr>
            </w:pPr>
            <w:r>
              <w:rPr>
                <w:rFonts w:hint="eastAsia" w:ascii="CESI仿宋-GB2312" w:hAnsi="CESI仿宋-GB2312" w:eastAsia="CESI仿宋-GB2312" w:cs="CESI仿宋-GB2312"/>
                <w:kern w:val="2"/>
                <w:sz w:val="18"/>
                <w:szCs w:val="18"/>
                <w:highlight w:val="none"/>
                <w:lang w:val="en-US" w:eastAsia="zh-CN" w:bidi="ar-SA"/>
              </w:rPr>
              <w:t>结合河套及前海地区产业发展现状及知识产权出海情况，讲解河套及前海地区发展规划及知识产权相关制度、深港知识产权制度差异及实务规则、河套地区知识产权出海风险防控建议等。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《河套深港科技创新合作区深圳园区发展规划》</w:t>
            </w:r>
            <w:r>
              <w:rPr>
                <w:rFonts w:hint="eastAsia" w:ascii="CESI仿宋-GB2312" w:hAnsi="CESI仿宋-GB2312" w:eastAsia="CESI仿宋-GB2312" w:cs="CESI仿宋-GB2312"/>
                <w:kern w:val="2"/>
                <w:sz w:val="18"/>
                <w:szCs w:val="18"/>
                <w:highlight w:val="none"/>
                <w:lang w:val="en-US" w:eastAsia="zh-CN" w:bidi="ar-SA"/>
              </w:rPr>
              <w:br w:type="textWrapping"/>
            </w:r>
            <w:r>
              <w:rPr>
                <w:rFonts w:hint="eastAsia" w:ascii="CESI仿宋-GB2312" w:hAnsi="CESI仿宋-GB2312" w:eastAsia="CESI仿宋-GB2312" w:cs="CESI仿宋-GB2312"/>
                <w:kern w:val="2"/>
                <w:sz w:val="18"/>
                <w:szCs w:val="18"/>
                <w:highlight w:val="none"/>
                <w:lang w:val="en-US" w:eastAsia="zh-CN" w:bidi="ar-SA"/>
              </w:rPr>
              <w:t>《全面深化前海深港现代服务业合作区改革开放方案》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6"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知识产权保护工作站能力提升及知识产权纠纷多元化解能力提升培训</w:t>
            </w:r>
          </w:p>
        </w:tc>
        <w:tc>
          <w:tcPr>
            <w:tcW w:w="6785" w:type="dxa"/>
            <w:noWrap w:val="0"/>
            <w:vAlign w:val="center"/>
          </w:tcPr>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1.各企事业单位、高等院校、科研机构等知识产权相关人员、企业知识产权管理部门、律师事务所、知识产权服务机构从业人员；</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2.知识产权保护工作站负责人及工作人员；</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3.市知识产权联席会议成员单位知识产权保护相关部门人员等。</w:t>
            </w:r>
          </w:p>
          <w:p>
            <w:pPr>
              <w:keepNext w:val="0"/>
              <w:keepLines w:val="0"/>
              <w:pageBreakBefore w:val="0"/>
              <w:widowControl/>
              <w:kinsoku/>
              <w:wordWrap/>
              <w:overflowPunct/>
              <w:topLinePunct w:val="0"/>
              <w:autoSpaceDE/>
              <w:autoSpaceDN/>
              <w:bidi w:val="0"/>
              <w:adjustRightInd/>
              <w:snapToGrid/>
              <w:spacing w:line="360" w:lineRule="exact"/>
              <w:ind w:firstLine="0" w:firstLineChars="0"/>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1.解读《深圳市市场监督管理局知识产权保护工作站管理办法》、深圳市地方标准《知识产权保护工作站评价规范》及工作站联盟章程；</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2.讲解工作站成立流程、工作站服务实务、工作站年度评价等方面内容；</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3.讲解创新主体如何选择纠纷调解、仲裁等多种手段化解知识产权纠纷，工作站如何开展纠纷多元化解等相关内容。</w:t>
            </w:r>
          </w:p>
          <w:p>
            <w:pPr>
              <w:spacing w:line="360" w:lineRule="exact"/>
              <w:ind w:left="0" w:leftChars="0" w:firstLine="0" w:firstLineChars="0"/>
              <w:rPr>
                <w:rFonts w:hint="eastAsia" w:ascii="CESI仿宋-GB2312" w:hAnsi="CESI仿宋-GB2312" w:eastAsia="CESI仿宋-GB2312" w:cs="CESI仿宋-GB2312"/>
                <w:b/>
                <w:bCs/>
                <w:sz w:val="18"/>
                <w:szCs w:val="18"/>
                <w:lang w:val="en-US" w:eastAsia="zh-CN"/>
              </w:rPr>
            </w:pPr>
            <w:r>
              <w:rPr>
                <w:rFonts w:hint="eastAsia" w:ascii="CESI仿宋-GB2312" w:hAnsi="CESI仿宋-GB2312" w:eastAsia="CESI仿宋-GB2312" w:cs="CESI仿宋-GB2312"/>
                <w:kern w:val="2"/>
                <w:sz w:val="18"/>
                <w:szCs w:val="18"/>
                <w:highlight w:val="none"/>
                <w:lang w:val="en-US" w:eastAsia="zh-CN" w:bidi="ar-SA"/>
              </w:rPr>
              <w:t>4.讲解知识产权纠纷快速处理相关法规及政策文件、工作机制、方式方法等；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《关于强化知识产权保护的实施方案》、《深圳市知识产权行政执法技术调查官管理办法（试行）》、《深圳市市场监督管理局知识产权保护工作站管理办法》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2"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rPr>
              <w:t>知识产权专家、行政执法技术调查官、志愿者业务培训</w:t>
            </w:r>
          </w:p>
        </w:tc>
        <w:tc>
          <w:tcPr>
            <w:tcW w:w="6785" w:type="dxa"/>
            <w:noWrap w:val="0"/>
            <w:vAlign w:val="center"/>
          </w:tcPr>
          <w:p>
            <w:pPr>
              <w:spacing w:line="360" w:lineRule="exact"/>
              <w:ind w:left="0" w:leftChars="0" w:firstLine="0" w:firstLineChars="0"/>
              <w:rPr>
                <w:rFonts w:hint="eastAsia"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b/>
                <w:bCs/>
                <w:sz w:val="18"/>
                <w:szCs w:val="18"/>
                <w:highlight w:val="none"/>
                <w:lang w:val="en-US" w:eastAsia="zh-CN"/>
              </w:rPr>
              <w:t>主要对象：</w:t>
            </w:r>
            <w:r>
              <w:rPr>
                <w:rFonts w:hint="eastAsia" w:ascii="CESI仿宋-GB2312" w:hAnsi="CESI仿宋-GB2312" w:eastAsia="CESI仿宋-GB2312" w:cs="CESI仿宋-GB2312"/>
                <w:sz w:val="18"/>
                <w:szCs w:val="18"/>
                <w:highlight w:val="none"/>
              </w:rPr>
              <w:t>深圳市知识产权专家库专家、知识产权行政执法技术调查官、知识产权志愿者</w:t>
            </w:r>
            <w:r>
              <w:rPr>
                <w:rFonts w:hint="eastAsia" w:ascii="CESI仿宋-GB2312" w:hAnsi="CESI仿宋-GB2312" w:eastAsia="CESI仿宋-GB2312" w:cs="CESI仿宋-GB2312"/>
                <w:sz w:val="18"/>
                <w:szCs w:val="18"/>
                <w:highlight w:val="none"/>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0" w:firstLineChars="0"/>
              <w:jc w:val="left"/>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b/>
                <w:bCs/>
                <w:sz w:val="18"/>
                <w:szCs w:val="18"/>
              </w:rPr>
              <w:t>主要内容：</w:t>
            </w:r>
          </w:p>
          <w:p>
            <w:pPr>
              <w:spacing w:line="360" w:lineRule="exact"/>
              <w:ind w:left="0" w:leftChars="0" w:firstLine="0" w:firstLineChars="0"/>
              <w:rPr>
                <w:rFonts w:hint="eastAsia" w:ascii="CESI仿宋-GB2312" w:hAnsi="CESI仿宋-GB2312" w:eastAsia="CESI仿宋-GB2312" w:cs="CESI仿宋-GB2312"/>
                <w:sz w:val="18"/>
                <w:szCs w:val="18"/>
                <w:highlight w:val="none"/>
                <w:lang w:eastAsia="zh-CN"/>
              </w:rPr>
            </w:pPr>
            <w:r>
              <w:rPr>
                <w:rFonts w:hint="eastAsia" w:ascii="CESI仿宋-GB2312" w:hAnsi="CESI仿宋-GB2312" w:eastAsia="CESI仿宋-GB2312" w:cs="CESI仿宋-GB2312"/>
                <w:sz w:val="18"/>
                <w:szCs w:val="18"/>
                <w:highlight w:val="none"/>
                <w:lang w:val="en-US" w:eastAsia="zh-CN"/>
              </w:rPr>
              <w:t>1</w:t>
            </w:r>
            <w:r>
              <w:rPr>
                <w:rFonts w:hint="default" w:ascii="CESI仿宋-GB2312" w:hAnsi="CESI仿宋-GB2312" w:eastAsia="CESI仿宋-GB2312" w:cs="CESI仿宋-GB2312"/>
                <w:sz w:val="18"/>
                <w:szCs w:val="18"/>
                <w:highlight w:val="none"/>
              </w:rPr>
              <w:t>.解读《深圳市知识产权专家库管理办法》，讲解专家工作规则和纪律要求等</w:t>
            </w:r>
            <w:r>
              <w:rPr>
                <w:rFonts w:hint="eastAsia" w:ascii="CESI仿宋-GB2312" w:hAnsi="CESI仿宋-GB2312" w:eastAsia="CESI仿宋-GB2312" w:cs="CESI仿宋-GB2312"/>
                <w:sz w:val="18"/>
                <w:szCs w:val="18"/>
                <w:highlight w:val="none"/>
                <w:lang w:eastAsia="zh-CN"/>
              </w:rPr>
              <w:t>；</w:t>
            </w:r>
          </w:p>
          <w:p>
            <w:pPr>
              <w:spacing w:line="360" w:lineRule="exact"/>
              <w:ind w:left="0" w:leftChars="0" w:firstLine="0" w:firstLineChars="0"/>
              <w:rPr>
                <w:rFonts w:hint="eastAsia" w:ascii="CESI仿宋-GB2312" w:hAnsi="CESI仿宋-GB2312" w:eastAsia="CESI仿宋-GB2312" w:cs="CESI仿宋-GB2312"/>
                <w:sz w:val="18"/>
                <w:szCs w:val="18"/>
                <w:highlight w:val="none"/>
              </w:rPr>
            </w:pPr>
            <w:r>
              <w:rPr>
                <w:rFonts w:hint="eastAsia" w:ascii="CESI仿宋-GB2312" w:hAnsi="CESI仿宋-GB2312" w:eastAsia="CESI仿宋-GB2312" w:cs="CESI仿宋-GB2312"/>
                <w:sz w:val="18"/>
                <w:szCs w:val="18"/>
                <w:highlight w:val="none"/>
                <w:lang w:eastAsia="zh-CN"/>
              </w:rPr>
              <w:t>2</w:t>
            </w:r>
            <w:r>
              <w:rPr>
                <w:rFonts w:hint="default" w:ascii="CESI仿宋-GB2312" w:hAnsi="CESI仿宋-GB2312" w:eastAsia="CESI仿宋-GB2312" w:cs="CESI仿宋-GB2312"/>
                <w:sz w:val="18"/>
                <w:szCs w:val="18"/>
                <w:highlight w:val="none"/>
              </w:rPr>
              <w:t>.解读《深圳市知识产权行政执法技术调查官管理办法（试行）》，讲解相关工作规则、技术鉴定的现场流程、注意事项等</w:t>
            </w:r>
            <w:r>
              <w:rPr>
                <w:rFonts w:hint="eastAsia" w:ascii="CESI仿宋-GB2312" w:hAnsi="CESI仿宋-GB2312" w:eastAsia="CESI仿宋-GB2312" w:cs="CESI仿宋-GB2312"/>
                <w:sz w:val="18"/>
                <w:szCs w:val="18"/>
                <w:highlight w:val="none"/>
                <w:lang w:eastAsia="zh-CN"/>
              </w:rPr>
              <w:t>；</w:t>
            </w:r>
          </w:p>
          <w:p>
            <w:pPr>
              <w:spacing w:line="360" w:lineRule="exact"/>
              <w:ind w:left="0" w:leftChars="0" w:firstLine="0" w:firstLineChars="0"/>
              <w:rPr>
                <w:rFonts w:hint="default"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sz w:val="18"/>
                <w:szCs w:val="18"/>
                <w:highlight w:val="none"/>
                <w:lang w:val="en-US" w:eastAsia="zh-CN"/>
              </w:rPr>
              <w:t>3</w:t>
            </w:r>
            <w:r>
              <w:rPr>
                <w:rFonts w:hint="default" w:ascii="CESI仿宋-GB2312" w:hAnsi="CESI仿宋-GB2312" w:eastAsia="CESI仿宋-GB2312" w:cs="CESI仿宋-GB2312"/>
                <w:sz w:val="18"/>
                <w:szCs w:val="18"/>
                <w:highlight w:val="none"/>
              </w:rPr>
              <w:t>.解读《关于加强深圳市知识产权志愿者队伍管理意见的通知》，讲解志愿者服务内容、纪律要求、注意事项等。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sz w:val="18"/>
                <w:szCs w:val="18"/>
                <w:highlight w:val="none"/>
              </w:rPr>
              <w:t>《深圳市知识产权专家库管理办法》、《深圳市知识产权行政执法技术调查官管理办法（试行）》、《关于加强深圳市知识产权志愿者队伍管理意见的通知》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2"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海外知识产权保护机制建设和维权培训</w:t>
            </w:r>
          </w:p>
        </w:tc>
        <w:tc>
          <w:tcPr>
            <w:tcW w:w="6785" w:type="dxa"/>
            <w:noWrap w:val="0"/>
            <w:vAlign w:val="center"/>
          </w:tcPr>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1.各企事业单位、高等院校、科研机构等知识产权相关人员、企业知识产权管理部门、律师事务所、知识产权服务机构从业人员；</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2.市知识产权联席会议成员单位知识产权保护相关部门人员等。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spacing w:line="360" w:lineRule="exact"/>
              <w:ind w:left="0" w:leftChars="0" w:firstLine="0" w:firstLineChars="0"/>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邀请国外知识产权律师、国内有丰富海外知识产权维权经验的学者或实务工作者，结合具体案例讲解我市企业知识产权海外维权机制，指导企业建立海外知识产权纠纷应对机制、加强海外知识产权保护指引及相关案例解析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《关于强化知识产权保护的实施方案》等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商业秘密保护理论宣贯及案例讲解</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各企事业单位知识产权部门中层以上领导，或拥有五年以上知识产权相关领域从业经验的学者及实务工作者。</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1.《企业商业秘密管理规范》深圳市地方标准的宣贯；</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2.商业秘密侵权的判断标准及纠纷处理技巧；</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3.商业秘密保护盲点及误区；</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4.如何建立商业秘密分级保护管理体系；</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5.典型案例剖析。</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《全国商业秘密保护创新试点工作方案》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知识产权领域资助奖励政策宣讲</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1.企事业单位、高校院所、科研机构、社会组织的知识产权工作人员、研发人员、知识产权服务机构人员、知识产权资助申请人；</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2.中小企业、初创企业科研人员或知识产权工作人员。</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1.围绕目前我市现行有效的知识产权领域专项资金政策要求、申报条件、申报程序、申报材料相关内容进行介绍；</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2.对国家、省、市三级专利奖以及国家知识产权优势示范企业的申报推荐渠道、流程、注意事项进行宣讲；</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3.世界知识产权组织（WIPO）全球奖活动介绍，包括奖项背景、申请途径、评奖规则、近几年中国企业获奖情况等。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《深圳市市场监督管理局知识产权领域专项资金操作规程》（深市监规〔2024〕5号）等。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企业知识产权管理人才培育</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国家高新技术企业、知识产权优势企业、示范企业等相关企业知识产权负责人。</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spacing w:line="360" w:lineRule="exact"/>
              <w:ind w:left="0" w:leftChars="0" w:firstLine="0" w:firstLineChars="0"/>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分类讲解企业专利、商标、版权、商业秘密、地理标志等各类知识产权保护管理布局方面知识。包括但不限于知识产权海外战略布局、知识产权运营管理、科技成果转化应用、ISO56005知识产权创新管理国际标准、专利产品备案、专利许可转让、知识产权质押融资、专业人才培养等。</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深圳市市场监督管理局关于印发贯彻落实《河套深港科技创新合作区深圳园区发展规划》若干措施的通知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版权产业知识产权实务指导</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lang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版权产业知识产权工作人员。</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spacing w:line="360" w:lineRule="exact"/>
              <w:ind w:left="0" w:leftChars="0" w:firstLine="0" w:firstLineChars="0"/>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围绕我市珠宝产业、时尚产业等版权产业知识产权发展现状，提供商标、专利、版权等方面的申请、运营、维权指导。</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市市场监管局关于印发《2024年促进黄金珠宝商品交易市场高质量发展行动方案》 的通知第五项“任务分工”第（五）点“强化知识产权保护”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知识产权专利导航专场培训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lang w:eastAsia="zh-CN"/>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“20+8”重点产业各企事业单位、高等院校、科研机构等知识产权相关人员、企业知识产权管理部门、律师事务所、知识产权服务机构从业人员等。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1.产业专利导航培训：围绕我市重点产业集群提供企业专利导航指南及实务案例讲解及专利信息检索能力提升培训；</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b/>
                <w:bCs/>
                <w:sz w:val="18"/>
                <w:szCs w:val="18"/>
                <w:lang w:eastAsia="zh-CN"/>
              </w:rPr>
            </w:pPr>
            <w:r>
              <w:rPr>
                <w:rFonts w:hint="default" w:ascii="CESI仿宋-GB2312" w:hAnsi="CESI仿宋-GB2312" w:eastAsia="CESI仿宋-GB2312" w:cs="CESI仿宋-GB2312"/>
                <w:kern w:val="2"/>
                <w:sz w:val="18"/>
                <w:szCs w:val="18"/>
                <w:highlight w:val="none"/>
                <w:lang w:val="en-US" w:eastAsia="zh-CN" w:bidi="ar-SA"/>
              </w:rPr>
              <w:t>2.区域专利导航培训：指导我市企业开展区域专利导航，重点对于出海美、日、欧的专利产品，提供专利导航指导。</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宝安区授权专利以实用新型专利为主，而最具技术创新含量的发明专利比重远低于全市平均水平，专利结构不合理。通过专利导航系列专场培训，发挥专利导航促进高质量发展的服务支撑作用，推进创新主体专利布局，提高市场竞争力，挖掘产业创新潜力，推动专利导航协同产业创新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地理标志产品及规范化市场培育专题培训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b/>
                <w:bCs/>
                <w:sz w:val="18"/>
                <w:szCs w:val="18"/>
                <w:highlight w:val="none"/>
                <w:lang w:val="en-US" w:eastAsia="zh-CN"/>
              </w:rPr>
              <w:t>1.</w:t>
            </w:r>
            <w:r>
              <w:rPr>
                <w:rFonts w:hint="eastAsia" w:ascii="CESI仿宋-GB2312" w:hAnsi="CESI仿宋-GB2312" w:eastAsia="CESI仿宋-GB2312" w:cs="CESI仿宋-GB2312"/>
                <w:kern w:val="2"/>
                <w:sz w:val="18"/>
                <w:szCs w:val="18"/>
                <w:highlight w:val="none"/>
                <w:lang w:val="en-US" w:eastAsia="zh-CN" w:bidi="ar-SA"/>
              </w:rPr>
              <w:t>各企事业单位、高等院校、科研机构等知识产权相关人员、企业知识产权管理部门、律师事务所、行业协会、知识产权服务机构从业人员等。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w:t>
            </w:r>
            <w:r>
              <w:rPr>
                <w:rFonts w:hint="eastAsia" w:ascii="CESI仿宋-GB2312" w:hAnsi="CESI仿宋-GB2312" w:eastAsia="CESI仿宋-GB2312" w:cs="CESI仿宋-GB2312"/>
                <w:b w:val="0"/>
                <w:kern w:val="2"/>
                <w:sz w:val="18"/>
                <w:szCs w:val="18"/>
                <w:highlight w:val="none"/>
                <w:lang w:eastAsia="zh-CN" w:bidi="ar-SA"/>
              </w:rPr>
              <w:t>全市各</w:t>
            </w:r>
            <w:r>
              <w:rPr>
                <w:rFonts w:hint="eastAsia" w:ascii="CESI仿宋-GB2312" w:hAnsi="CESI仿宋-GB2312" w:eastAsia="CESI仿宋-GB2312" w:cs="CESI仿宋-GB2312"/>
                <w:b w:val="0"/>
                <w:kern w:val="2"/>
                <w:sz w:val="18"/>
                <w:szCs w:val="18"/>
                <w:highlight w:val="none"/>
                <w:lang w:val="en-US" w:eastAsia="zh-CN" w:bidi="ar-SA"/>
              </w:rPr>
              <w:t>专业市场经营管理主体相关人员等。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1</w:t>
            </w:r>
            <w:r>
              <w:rPr>
                <w:rFonts w:hint="eastAsia" w:ascii="CESI仿宋-GB2312" w:hAnsi="CESI仿宋-GB2312" w:eastAsia="CESI仿宋-GB2312" w:cs="CESI仿宋-GB2312"/>
                <w:kern w:val="2"/>
                <w:sz w:val="18"/>
                <w:szCs w:val="18"/>
                <w:highlight w:val="none"/>
                <w:lang w:val="en-US" w:eastAsia="zh-CN" w:bidi="ar-SA"/>
              </w:rPr>
              <w:t>.</w:t>
            </w:r>
            <w:r>
              <w:rPr>
                <w:rFonts w:hint="default" w:ascii="CESI仿宋-GB2312" w:hAnsi="CESI仿宋-GB2312" w:eastAsia="CESI仿宋-GB2312" w:cs="CESI仿宋-GB2312"/>
                <w:kern w:val="2"/>
                <w:sz w:val="18"/>
                <w:szCs w:val="18"/>
                <w:highlight w:val="none"/>
                <w:lang w:val="en-US" w:eastAsia="zh-CN" w:bidi="ar-SA"/>
              </w:rPr>
              <w:t>《广东省地理标志条例》解读</w:t>
            </w:r>
            <w:r>
              <w:rPr>
                <w:rFonts w:hint="eastAsia" w:ascii="CESI仿宋-GB2312" w:hAnsi="CESI仿宋-GB2312" w:eastAsia="CESI仿宋-GB2312" w:cs="CESI仿宋-GB2312"/>
                <w:kern w:val="2"/>
                <w:sz w:val="18"/>
                <w:szCs w:val="1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2</w:t>
            </w:r>
            <w:r>
              <w:rPr>
                <w:rFonts w:hint="eastAsia" w:ascii="CESI仿宋-GB2312" w:hAnsi="CESI仿宋-GB2312" w:eastAsia="CESI仿宋-GB2312" w:cs="CESI仿宋-GB2312"/>
                <w:kern w:val="2"/>
                <w:sz w:val="18"/>
                <w:szCs w:val="18"/>
                <w:highlight w:val="none"/>
                <w:lang w:val="en-US" w:eastAsia="zh-CN" w:bidi="ar-SA"/>
              </w:rPr>
              <w:t>.</w:t>
            </w:r>
            <w:r>
              <w:rPr>
                <w:rFonts w:hint="default" w:ascii="CESI仿宋-GB2312" w:hAnsi="CESI仿宋-GB2312" w:eastAsia="CESI仿宋-GB2312" w:cs="CESI仿宋-GB2312"/>
                <w:kern w:val="2"/>
                <w:sz w:val="18"/>
                <w:szCs w:val="18"/>
                <w:highlight w:val="none"/>
                <w:lang w:val="en-US" w:eastAsia="zh-CN" w:bidi="ar-SA"/>
              </w:rPr>
              <w:t>地理标志产品培育</w:t>
            </w:r>
            <w:r>
              <w:rPr>
                <w:rFonts w:hint="eastAsia" w:ascii="CESI仿宋-GB2312" w:hAnsi="CESI仿宋-GB2312" w:eastAsia="CESI仿宋-GB2312" w:cs="CESI仿宋-GB2312"/>
                <w:kern w:val="2"/>
                <w:sz w:val="18"/>
                <w:szCs w:val="18"/>
                <w:highlight w:val="none"/>
                <w:lang w:val="en-US" w:eastAsia="zh-CN" w:bidi="ar-SA"/>
              </w:rPr>
              <w:t>；</w:t>
            </w:r>
          </w:p>
          <w:p>
            <w:pPr>
              <w:spacing w:line="360" w:lineRule="exact"/>
              <w:ind w:left="0" w:leftChars="0" w:firstLine="0" w:firstLineChars="0"/>
              <w:rPr>
                <w:rFonts w:hint="eastAsia"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3</w:t>
            </w:r>
            <w:r>
              <w:rPr>
                <w:rFonts w:hint="eastAsia" w:ascii="CESI仿宋-GB2312" w:hAnsi="CESI仿宋-GB2312" w:eastAsia="CESI仿宋-GB2312" w:cs="CESI仿宋-GB2312"/>
                <w:kern w:val="2"/>
                <w:sz w:val="18"/>
                <w:szCs w:val="18"/>
                <w:highlight w:val="none"/>
                <w:lang w:val="en-US" w:eastAsia="zh-CN" w:bidi="ar-SA"/>
              </w:rPr>
              <w:t>.</w:t>
            </w:r>
            <w:r>
              <w:rPr>
                <w:rFonts w:hint="default" w:ascii="CESI仿宋-GB2312" w:hAnsi="CESI仿宋-GB2312" w:eastAsia="CESI仿宋-GB2312" w:cs="CESI仿宋-GB2312"/>
                <w:kern w:val="2"/>
                <w:sz w:val="18"/>
                <w:szCs w:val="18"/>
                <w:highlight w:val="none"/>
                <w:lang w:val="en-US" w:eastAsia="zh-CN" w:bidi="ar-SA"/>
              </w:rPr>
              <w:t>地理标志产品申报</w:t>
            </w:r>
            <w:r>
              <w:rPr>
                <w:rFonts w:hint="eastAsia" w:ascii="CESI仿宋-GB2312" w:hAnsi="CESI仿宋-GB2312" w:eastAsia="CESI仿宋-GB2312" w:cs="CESI仿宋-GB2312"/>
                <w:kern w:val="2"/>
                <w:sz w:val="18"/>
                <w:szCs w:val="18"/>
                <w:highlight w:val="none"/>
                <w:lang w:val="en-US" w:eastAsia="zh-CN" w:bidi="ar-SA"/>
              </w:rPr>
              <w:t>；</w:t>
            </w:r>
          </w:p>
          <w:p>
            <w:pPr>
              <w:spacing w:line="360" w:lineRule="exact"/>
              <w:ind w:left="0" w:leftChars="0" w:firstLine="0" w:firstLineChars="0"/>
              <w:rPr>
                <w:rFonts w:hint="default" w:ascii="CESI仿宋-GB2312" w:hAnsi="CESI仿宋-GB2312" w:eastAsia="CESI仿宋-GB2312" w:cs="CESI仿宋-GB2312"/>
                <w:b/>
                <w:bCs/>
                <w:sz w:val="18"/>
                <w:szCs w:val="18"/>
                <w:lang w:eastAsia="zh-CN"/>
              </w:rPr>
            </w:pPr>
            <w:r>
              <w:rPr>
                <w:rFonts w:hint="eastAsia" w:ascii="CESI仿宋-GB2312" w:hAnsi="CESI仿宋-GB2312" w:eastAsia="CESI仿宋-GB2312" w:cs="CESI仿宋-GB2312"/>
                <w:sz w:val="18"/>
                <w:szCs w:val="18"/>
                <w:highlight w:val="none"/>
                <w:lang w:val="en-US" w:eastAsia="zh-CN"/>
              </w:rPr>
              <w:t>4</w:t>
            </w:r>
            <w:r>
              <w:rPr>
                <w:rFonts w:hint="eastAsia" w:ascii="CESI仿宋-GB2312" w:hAnsi="CESI仿宋-GB2312" w:eastAsia="CESI仿宋-GB2312" w:cs="CESI仿宋-GB2312"/>
                <w:sz w:val="18"/>
                <w:szCs w:val="18"/>
                <w:highlight w:val="none"/>
              </w:rPr>
              <w:t>.解读《知识产权保护规范化市场创建示范管理办法》，讲解申报培育流程</w:t>
            </w:r>
            <w:r>
              <w:rPr>
                <w:rFonts w:hint="eastAsia" w:ascii="CESI仿宋-GB2312" w:hAnsi="CESI仿宋-GB2312" w:eastAsia="CESI仿宋-GB2312" w:cs="CESI仿宋-GB2312"/>
                <w:sz w:val="18"/>
                <w:szCs w:val="18"/>
                <w:highlight w:val="none"/>
                <w:lang w:eastAsia="zh-CN"/>
              </w:rPr>
              <w:t>；</w:t>
            </w:r>
            <w:r>
              <w:rPr>
                <w:rFonts w:hint="default" w:ascii="CESI仿宋-GB2312" w:hAnsi="CESI仿宋-GB2312" w:eastAsia="CESI仿宋-GB2312" w:cs="CESI仿宋-GB2312"/>
                <w:kern w:val="2"/>
                <w:sz w:val="18"/>
                <w:szCs w:val="18"/>
                <w:highlight w:val="none"/>
                <w:lang w:val="en-US" w:eastAsia="zh-CN" w:bidi="ar-SA"/>
              </w:rPr>
              <w:t>指导市场经营管理主体建立健全知识产权保护工作机制，提高知识产权保护管理能力。</w:t>
            </w:r>
          </w:p>
        </w:tc>
        <w:tc>
          <w:tcPr>
            <w:tcW w:w="4207" w:type="dxa"/>
            <w:noWrap w:val="0"/>
            <w:vAlign w:val="center"/>
          </w:tcPr>
          <w:p>
            <w:pPr>
              <w:keepNext w:val="0"/>
              <w:keepLines w:val="0"/>
              <w:pageBreakBefore w:val="0"/>
              <w:widowControl/>
              <w:suppressLineNumbers w:val="0"/>
              <w:kinsoku/>
              <w:wordWrap/>
              <w:overflowPunct/>
              <w:topLinePunct w:val="0"/>
              <w:autoSpaceDE/>
              <w:autoSpaceDN/>
              <w:bidi w:val="0"/>
              <w:adjustRightInd/>
              <w:spacing w:line="440" w:lineRule="exact"/>
              <w:ind w:left="0" w:leftChars="0" w:firstLine="0" w:firstLineChars="0"/>
              <w:jc w:val="left"/>
              <w:textAlignment w:val="auto"/>
              <w:rPr>
                <w:rFonts w:hint="eastAsia" w:ascii="CESI仿宋-GB2312" w:hAnsi="CESI仿宋-GB2312" w:eastAsia="CESI仿宋-GB2312" w:cs="CESI仿宋-GB2312"/>
                <w:sz w:val="18"/>
                <w:szCs w:val="18"/>
                <w:highlight w:val="none"/>
              </w:rPr>
            </w:pPr>
            <w:r>
              <w:rPr>
                <w:rFonts w:hint="eastAsia" w:ascii="CESI仿宋-GB2312" w:hAnsi="CESI仿宋-GB2312" w:eastAsia="CESI仿宋-GB2312" w:cs="CESI仿宋-GB2312"/>
                <w:kern w:val="2"/>
                <w:sz w:val="18"/>
                <w:szCs w:val="18"/>
                <w:highlight w:val="none"/>
                <w:lang w:val="en-US" w:eastAsia="zh-CN" w:bidi="ar-SA"/>
              </w:rPr>
              <w:t>《广东省发展地理标志产业实施方案》、</w:t>
            </w:r>
            <w:r>
              <w:rPr>
                <w:rFonts w:hint="eastAsia" w:ascii="CESI仿宋-GB2312" w:hAnsi="CESI仿宋-GB2312" w:eastAsia="CESI仿宋-GB2312" w:cs="CESI仿宋-GB2312"/>
                <w:i w:val="0"/>
                <w:caps w:val="0"/>
                <w:spacing w:val="0"/>
                <w:kern w:val="2"/>
                <w:sz w:val="18"/>
                <w:szCs w:val="18"/>
                <w:highlight w:val="none"/>
                <w:shd w:val="clear" w:color="auto" w:fill="auto"/>
                <w:lang w:val="en-US" w:eastAsia="zh-CN" w:bidi="ar-SA"/>
              </w:rPr>
              <w:t>国家知识产权局办公室关于印发《知识产权保护规范化市场创建示范管理办法》的通知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jc w:val="center"/>
        </w:trPr>
        <w:tc>
          <w:tcPr>
            <w:tcW w:w="745" w:type="dxa"/>
            <w:noWrap w:val="0"/>
            <w:vAlign w:val="center"/>
          </w:tcPr>
          <w:p>
            <w:pPr>
              <w:pStyle w:val="17"/>
              <w:keepNext w:val="0"/>
              <w:keepLines w:val="0"/>
              <w:pageBreakBefore w:val="0"/>
              <w:widowControl w:val="0"/>
              <w:numPr>
                <w:ilvl w:val="0"/>
                <w:numId w:val="4"/>
              </w:numPr>
              <w:kinsoku/>
              <w:wordWrap/>
              <w:overflowPunct/>
              <w:topLinePunct w:val="0"/>
              <w:autoSpaceDE/>
              <w:autoSpaceDN/>
              <w:bidi w:val="0"/>
              <w:adjustRightInd/>
              <w:snapToGrid/>
              <w:spacing w:line="400" w:lineRule="exact"/>
              <w:ind w:left="126" w:leftChars="60" w:firstLine="0" w:firstLineChars="0"/>
              <w:jc w:val="center"/>
              <w:textAlignment w:val="auto"/>
              <w:rPr>
                <w:rFonts w:hint="eastAsia" w:ascii="CESI仿宋-GB2312" w:hAnsi="CESI仿宋-GB2312" w:eastAsia="CESI仿宋-GB2312" w:cs="CESI仿宋-GB2312"/>
                <w:sz w:val="28"/>
                <w:szCs w:val="28"/>
              </w:rPr>
            </w:pPr>
          </w:p>
        </w:tc>
        <w:tc>
          <w:tcPr>
            <w:tcW w:w="17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left"/>
              <w:textAlignment w:val="auto"/>
              <w:rPr>
                <w:rFonts w:hint="eastAsia" w:ascii="CESI仿宋-GB2312" w:hAnsi="CESI仿宋-GB2312" w:eastAsia="CESI仿宋-GB2312" w:cs="CESI仿宋-GB2312"/>
                <w:sz w:val="18"/>
                <w:szCs w:val="18"/>
                <w:highlight w:val="none"/>
                <w:lang w:val="en-US" w:eastAsia="zh-CN"/>
              </w:rPr>
            </w:pPr>
            <w:r>
              <w:rPr>
                <w:rFonts w:hint="eastAsia" w:ascii="CESI仿宋-GB2312" w:hAnsi="CESI仿宋-GB2312" w:eastAsia="CESI仿宋-GB2312" w:cs="CESI仿宋-GB2312"/>
                <w:sz w:val="18"/>
                <w:szCs w:val="18"/>
                <w:highlight w:val="none"/>
                <w:lang w:val="en-US" w:eastAsia="zh-CN"/>
              </w:rPr>
              <w:t>知识产权转化运用专题培训</w:t>
            </w:r>
          </w:p>
        </w:tc>
        <w:tc>
          <w:tcPr>
            <w:tcW w:w="6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highlight w:val="none"/>
              </w:rPr>
            </w:pPr>
            <w:r>
              <w:rPr>
                <w:rFonts w:hint="eastAsia" w:ascii="CESI仿宋-GB2312" w:hAnsi="CESI仿宋-GB2312" w:eastAsia="CESI仿宋-GB2312" w:cs="CESI仿宋-GB2312"/>
                <w:b/>
                <w:bCs/>
                <w:sz w:val="18"/>
                <w:szCs w:val="18"/>
                <w:highlight w:val="none"/>
              </w:rPr>
              <w:t>主要对象：</w:t>
            </w:r>
            <w:r>
              <w:rPr>
                <w:rFonts w:hint="eastAsia" w:ascii="CESI仿宋-GB2312" w:hAnsi="CESI仿宋-GB2312" w:eastAsia="CESI仿宋-GB2312" w:cs="CESI仿宋-GB2312"/>
                <w:kern w:val="2"/>
                <w:sz w:val="18"/>
                <w:szCs w:val="18"/>
                <w:highlight w:val="none"/>
                <w:lang w:val="en-US" w:eastAsia="zh-CN" w:bidi="ar-SA"/>
              </w:rPr>
              <w:t>1.大鹏新区有关科研机构（中国农业科学院深圳农业基因组研究所、广东海洋大学深圳研究院等研究人员）；</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2.其他企事业单位、高等院校、科研机构等知识产权相关人员、企业知识产权管理部门、律师事务所、知识产权服务机构从业人员等。</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主要形式：</w:t>
            </w:r>
            <w:r>
              <w:rPr>
                <w:rFonts w:hint="eastAsia" w:ascii="CESI仿宋-GB2312" w:hAnsi="CESI仿宋-GB2312" w:eastAsia="CESI仿宋-GB2312" w:cs="CESI仿宋-GB2312"/>
                <w:sz w:val="18"/>
                <w:szCs w:val="18"/>
                <w:highlight w:val="none"/>
                <w:lang w:eastAsia="zh-CN"/>
              </w:rPr>
              <w:t>线下</w:t>
            </w:r>
            <w:r>
              <w:rPr>
                <w:rFonts w:hint="default" w:ascii="CESI仿宋-GB2312" w:hAnsi="CESI仿宋-GB2312" w:eastAsia="CESI仿宋-GB2312" w:cs="CESI仿宋-GB2312"/>
                <w:sz w:val="18"/>
                <w:szCs w:val="18"/>
                <w:highlight w:val="none"/>
              </w:rPr>
              <w:t>培训为主，必要时可开展线上培训。</w:t>
            </w:r>
          </w:p>
          <w:p>
            <w:pPr>
              <w:spacing w:line="360" w:lineRule="exact"/>
              <w:ind w:left="0" w:leftChars="0" w:firstLine="0" w:firstLineChars="0"/>
              <w:rPr>
                <w:rFonts w:hint="eastAsia" w:ascii="CESI仿宋-GB2312" w:hAnsi="CESI仿宋-GB2312" w:eastAsia="CESI仿宋-GB2312" w:cs="CESI仿宋-GB2312"/>
                <w:b/>
                <w:bCs/>
                <w:sz w:val="18"/>
                <w:szCs w:val="18"/>
              </w:rPr>
            </w:pPr>
            <w:r>
              <w:rPr>
                <w:rFonts w:hint="eastAsia" w:ascii="CESI仿宋-GB2312" w:hAnsi="CESI仿宋-GB2312" w:eastAsia="CESI仿宋-GB2312" w:cs="CESI仿宋-GB2312"/>
                <w:b/>
                <w:bCs/>
                <w:sz w:val="18"/>
                <w:szCs w:val="18"/>
              </w:rPr>
              <w:t>主要内容：</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1</w:t>
            </w:r>
            <w:r>
              <w:rPr>
                <w:rFonts w:hint="eastAsia" w:ascii="CESI仿宋-GB2312" w:hAnsi="CESI仿宋-GB2312" w:eastAsia="CESI仿宋-GB2312" w:cs="CESI仿宋-GB2312"/>
                <w:kern w:val="2"/>
                <w:sz w:val="18"/>
                <w:szCs w:val="18"/>
                <w:highlight w:val="none"/>
                <w:lang w:val="en-US" w:eastAsia="zh-CN" w:bidi="ar-SA"/>
              </w:rPr>
              <w:t>.</w:t>
            </w:r>
            <w:r>
              <w:rPr>
                <w:rFonts w:hint="default" w:ascii="CESI仿宋-GB2312" w:hAnsi="CESI仿宋-GB2312" w:eastAsia="CESI仿宋-GB2312" w:cs="CESI仿宋-GB2312"/>
                <w:kern w:val="2"/>
                <w:sz w:val="18"/>
                <w:szCs w:val="18"/>
                <w:highlight w:val="none"/>
                <w:lang w:val="en-US" w:eastAsia="zh-CN" w:bidi="ar-SA"/>
              </w:rPr>
              <w:t>高校知识产权转化实务及案例分析（需邀请高校代表进行经验分享）</w:t>
            </w:r>
            <w:r>
              <w:rPr>
                <w:rFonts w:hint="eastAsia" w:ascii="CESI仿宋-GB2312" w:hAnsi="CESI仿宋-GB2312" w:eastAsia="CESI仿宋-GB2312" w:cs="CESI仿宋-GB2312"/>
                <w:kern w:val="2"/>
                <w:sz w:val="18"/>
                <w:szCs w:val="1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2</w:t>
            </w:r>
            <w:r>
              <w:rPr>
                <w:rFonts w:hint="eastAsia" w:ascii="CESI仿宋-GB2312" w:hAnsi="CESI仿宋-GB2312" w:eastAsia="CESI仿宋-GB2312" w:cs="CESI仿宋-GB2312"/>
                <w:kern w:val="2"/>
                <w:sz w:val="18"/>
                <w:szCs w:val="18"/>
                <w:highlight w:val="none"/>
                <w:lang w:val="en-US" w:eastAsia="zh-CN" w:bidi="ar-SA"/>
              </w:rPr>
              <w:t>.</w:t>
            </w:r>
            <w:r>
              <w:rPr>
                <w:rFonts w:hint="default" w:ascii="CESI仿宋-GB2312" w:hAnsi="CESI仿宋-GB2312" w:eastAsia="CESI仿宋-GB2312" w:cs="CESI仿宋-GB2312"/>
                <w:kern w:val="2"/>
                <w:sz w:val="18"/>
                <w:szCs w:val="18"/>
                <w:highlight w:val="none"/>
                <w:lang w:val="en-US" w:eastAsia="zh-CN" w:bidi="ar-SA"/>
              </w:rPr>
              <w:t>科研机构知识产权转化实务及案例分析（需邀请科研机构代表进行经验分享）</w:t>
            </w:r>
            <w:r>
              <w:rPr>
                <w:rFonts w:hint="eastAsia" w:ascii="CESI仿宋-GB2312" w:hAnsi="CESI仿宋-GB2312" w:eastAsia="CESI仿宋-GB2312" w:cs="CESI仿宋-GB2312"/>
                <w:kern w:val="2"/>
                <w:sz w:val="18"/>
                <w:szCs w:val="1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default" w:ascii="CESI仿宋-GB2312" w:hAnsi="CESI仿宋-GB2312" w:eastAsia="CESI仿宋-GB2312" w:cs="CESI仿宋-GB2312"/>
                <w:kern w:val="2"/>
                <w:sz w:val="18"/>
                <w:szCs w:val="18"/>
                <w:highlight w:val="none"/>
                <w:lang w:val="en-US" w:eastAsia="zh-CN" w:bidi="ar-SA"/>
              </w:rPr>
              <w:t>3</w:t>
            </w:r>
            <w:r>
              <w:rPr>
                <w:rFonts w:hint="eastAsia" w:ascii="CESI仿宋-GB2312" w:hAnsi="CESI仿宋-GB2312" w:eastAsia="CESI仿宋-GB2312" w:cs="CESI仿宋-GB2312"/>
                <w:kern w:val="2"/>
                <w:sz w:val="18"/>
                <w:szCs w:val="18"/>
                <w:highlight w:val="none"/>
                <w:lang w:val="en-US" w:eastAsia="zh-CN" w:bidi="ar-SA"/>
              </w:rPr>
              <w:t>.专利授权后的价值评估；</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4.</w:t>
            </w:r>
            <w:r>
              <w:rPr>
                <w:rFonts w:hint="default" w:ascii="CESI仿宋-GB2312" w:hAnsi="CESI仿宋-GB2312" w:eastAsia="CESI仿宋-GB2312" w:cs="CESI仿宋-GB2312"/>
                <w:kern w:val="2"/>
                <w:sz w:val="18"/>
                <w:szCs w:val="18"/>
                <w:highlight w:val="none"/>
                <w:lang w:val="en-US" w:eastAsia="zh-CN" w:bidi="ar-SA"/>
              </w:rPr>
              <w:t>介绍、推广</w:t>
            </w:r>
            <w:r>
              <w:rPr>
                <w:rFonts w:hint="eastAsia" w:ascii="CESI仿宋-GB2312" w:hAnsi="CESI仿宋-GB2312" w:eastAsia="CESI仿宋-GB2312" w:cs="CESI仿宋-GB2312"/>
                <w:kern w:val="2"/>
                <w:sz w:val="18"/>
                <w:szCs w:val="18"/>
                <w:highlight w:val="none"/>
                <w:lang w:val="en-US" w:eastAsia="zh-CN" w:bidi="ar-SA"/>
              </w:rPr>
              <w:t>我市主要</w:t>
            </w:r>
            <w:r>
              <w:rPr>
                <w:rFonts w:hint="default" w:ascii="CESI仿宋-GB2312" w:hAnsi="CESI仿宋-GB2312" w:eastAsia="CESI仿宋-GB2312" w:cs="CESI仿宋-GB2312"/>
                <w:kern w:val="2"/>
                <w:sz w:val="18"/>
                <w:szCs w:val="18"/>
                <w:highlight w:val="none"/>
                <w:lang w:val="en-US" w:eastAsia="zh-CN" w:bidi="ar-SA"/>
              </w:rPr>
              <w:t>知识产权</w:t>
            </w:r>
            <w:r>
              <w:rPr>
                <w:rFonts w:hint="eastAsia" w:ascii="CESI仿宋-GB2312" w:hAnsi="CESI仿宋-GB2312" w:eastAsia="CESI仿宋-GB2312" w:cs="CESI仿宋-GB2312"/>
                <w:kern w:val="2"/>
                <w:sz w:val="18"/>
                <w:szCs w:val="18"/>
                <w:highlight w:val="none"/>
                <w:lang w:val="en-US" w:eastAsia="zh-CN" w:bidi="ar-SA"/>
              </w:rPr>
              <w:t>转化运用</w:t>
            </w:r>
            <w:r>
              <w:rPr>
                <w:rFonts w:hint="default" w:ascii="CESI仿宋-GB2312" w:hAnsi="CESI仿宋-GB2312" w:eastAsia="CESI仿宋-GB2312" w:cs="CESI仿宋-GB2312"/>
                <w:kern w:val="2"/>
                <w:sz w:val="18"/>
                <w:szCs w:val="18"/>
                <w:highlight w:val="none"/>
                <w:lang w:val="en-US" w:eastAsia="zh-CN" w:bidi="ar-SA"/>
              </w:rPr>
              <w:t>服务平台</w:t>
            </w:r>
            <w:r>
              <w:rPr>
                <w:rFonts w:hint="eastAsia" w:ascii="CESI仿宋-GB2312" w:hAnsi="CESI仿宋-GB2312" w:eastAsia="CESI仿宋-GB2312" w:cs="CESI仿宋-GB2312"/>
                <w:kern w:val="2"/>
                <w:sz w:val="18"/>
                <w:szCs w:val="1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5.知识产权金融政策讲解及企业知识产权融资辅导。</w:t>
            </w:r>
          </w:p>
        </w:tc>
        <w:tc>
          <w:tcPr>
            <w:tcW w:w="420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left"/>
              <w:textAlignment w:val="auto"/>
              <w:rPr>
                <w:rFonts w:hint="eastAsia" w:ascii="CESI仿宋-GB2312" w:hAnsi="CESI仿宋-GB2312" w:eastAsia="CESI仿宋-GB2312" w:cs="CESI仿宋-GB2312"/>
                <w:kern w:val="2"/>
                <w:sz w:val="18"/>
                <w:szCs w:val="18"/>
                <w:highlight w:val="none"/>
                <w:lang w:val="en-US" w:eastAsia="zh-CN" w:bidi="ar-SA"/>
              </w:rPr>
            </w:pPr>
            <w:r>
              <w:rPr>
                <w:rFonts w:hint="eastAsia" w:ascii="CESI仿宋-GB2312" w:hAnsi="CESI仿宋-GB2312" w:eastAsia="CESI仿宋-GB2312" w:cs="CESI仿宋-GB2312"/>
                <w:kern w:val="2"/>
                <w:sz w:val="18"/>
                <w:szCs w:val="18"/>
                <w:highlight w:val="none"/>
                <w:lang w:val="en-US" w:eastAsia="zh-CN" w:bidi="ar-SA"/>
              </w:rPr>
              <w:t>《专利转化专项行动方案(2023-2025)》</w:t>
            </w:r>
          </w:p>
        </w:tc>
      </w:tr>
    </w:tbl>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_GB2312" w:eastAsia="仿宋_GB2312"/>
          <w:sz w:val="28"/>
          <w:szCs w:val="28"/>
          <w:lang w:eastAsia="zh-CN"/>
        </w:rPr>
      </w:pPr>
      <w:r>
        <w:rPr>
          <w:rFonts w:hint="eastAsia" w:ascii="仿宋_GB2312" w:eastAsia="仿宋_GB2312"/>
          <w:sz w:val="28"/>
          <w:szCs w:val="28"/>
          <w:lang w:eastAsia="zh-CN"/>
        </w:rPr>
        <w:t>注：</w:t>
      </w:r>
      <w:r>
        <w:rPr>
          <w:rFonts w:hint="eastAsia" w:ascii="仿宋_GB2312" w:eastAsia="仿宋_GB2312"/>
          <w:sz w:val="28"/>
          <w:szCs w:val="28"/>
          <w:lang w:val="en-US" w:eastAsia="zh-CN"/>
        </w:rPr>
        <w:t>1.</w:t>
      </w:r>
      <w:r>
        <w:rPr>
          <w:rFonts w:hint="eastAsia" w:ascii="仿宋_GB2312" w:eastAsia="仿宋_GB2312"/>
          <w:sz w:val="28"/>
          <w:szCs w:val="28"/>
          <w:lang w:eastAsia="zh-CN"/>
        </w:rPr>
        <w:t>申请人可在2024年度知识产权专项资金课程培训重点主题清单外，申报其他知识产权相关培训项目，在申报系统中选择“自选主题”即可；</w:t>
      </w:r>
    </w:p>
    <w:p>
      <w:r>
        <w:rPr>
          <w:rFonts w:hint="eastAsia" w:ascii="仿宋_GB2312" w:eastAsia="仿宋_GB2312"/>
          <w:sz w:val="28"/>
          <w:szCs w:val="28"/>
          <w:lang w:val="en-US" w:eastAsia="zh-CN"/>
        </w:rPr>
        <w:t>2.申请人若选择</w:t>
      </w:r>
      <w:r>
        <w:rPr>
          <w:rFonts w:hint="eastAsia" w:ascii="仿宋_GB2312" w:eastAsia="仿宋_GB2312"/>
          <w:sz w:val="28"/>
          <w:szCs w:val="28"/>
          <w:lang w:eastAsia="zh-CN"/>
        </w:rPr>
        <w:t>2024年度知识产权专项资金课程培训重点主题清单内的培训，培训已完成的，培训内容应涵盖所选主题的主要培训内容。项目未完成的，应按照所选主题要求的培训内容、培训形式及培训对象设置培训方案。培训内容应尽可能包含理论讲解、实务指导及案例分析。培训内容涉及境外知识产权制度及实务培训的，应尽可能在讲师团队中安排具有国际知识产权实务工作经验或具有境外律师执业资格并代理过知识产权诉讼的律师进行讲解。</w:t>
      </w:r>
    </w:p>
    <w:p>
      <w:pPr>
        <w:snapToGrid w:val="0"/>
        <w:spacing w:beforeLines="100" w:line="600" w:lineRule="exact"/>
        <w:jc w:val="left"/>
        <w:rPr>
          <w:rFonts w:ascii="仿宋_GB2312" w:hAnsi="宋体" w:eastAsia="仿宋_GB2312" w:cs="宋体"/>
          <w:color w:val="000000"/>
          <w:kern w:val="0"/>
          <w:sz w:val="32"/>
          <w:szCs w:val="32"/>
        </w:rPr>
      </w:pPr>
    </w:p>
    <w:sectPr>
      <w:pgSz w:w="16838" w:h="11906" w:orient="landscape"/>
      <w:pgMar w:top="1803" w:right="1440" w:bottom="1803" w:left="144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rPr>
        <w:lang w:val="zh-CN"/>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83D1A"/>
    <w:multiLevelType w:val="singleLevel"/>
    <w:tmpl w:val="E1683D1A"/>
    <w:lvl w:ilvl="0" w:tentative="0">
      <w:start w:val="1"/>
      <w:numFmt w:val="chineseCounting"/>
      <w:suff w:val="nothing"/>
      <w:lvlText w:val="（%1）"/>
      <w:lvlJc w:val="left"/>
      <w:rPr>
        <w:rFonts w:hint="eastAsia"/>
      </w:rPr>
    </w:lvl>
  </w:abstractNum>
  <w:abstractNum w:abstractNumId="1">
    <w:nsid w:val="03E81AF4"/>
    <w:multiLevelType w:val="multilevel"/>
    <w:tmpl w:val="03E81AF4"/>
    <w:lvl w:ilvl="0" w:tentative="0">
      <w:start w:val="1"/>
      <w:numFmt w:val="japaneseCounting"/>
      <w:lvlText w:val="%1、"/>
      <w:lvlJc w:val="left"/>
      <w:pPr>
        <w:ind w:left="1360" w:hanging="720"/>
      </w:pPr>
      <w:rPr>
        <w:rFonts w:hint="default" w:ascii="黑体" w:hAnsi="黑体" w:eastAsia="黑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69F64F8"/>
    <w:multiLevelType w:val="multilevel"/>
    <w:tmpl w:val="269F64F8"/>
    <w:lvl w:ilvl="0" w:tentative="0">
      <w:start w:val="1"/>
      <w:numFmt w:val="japaneseCounting"/>
      <w:lvlText w:val="（%1）"/>
      <w:lvlJc w:val="left"/>
      <w:pPr>
        <w:ind w:left="1723" w:hanging="1080"/>
      </w:pPr>
      <w:rPr>
        <w:rFonts w:hint="eastAsia" w:ascii="楷体_GB2312" w:eastAsia="楷体_GB2312"/>
        <w:b/>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rPr>
        <w:rFonts w:hint="eastAsia" w:ascii="楷体_GB2312" w:eastAsia="楷体_GB2312"/>
        <w:b/>
      </w:rPr>
    </w:lvl>
    <w:lvl w:ilvl="4" w:tentative="0">
      <w:start w:val="1"/>
      <w:numFmt w:val="decimal"/>
      <w:lvlText w:val="（%5）"/>
      <w:lvlJc w:val="left"/>
      <w:pPr>
        <w:ind w:left="3403" w:hanging="1080"/>
      </w:pPr>
      <w:rPr>
        <w:rFonts w:hint="default"/>
        <w:lang w:val="en-US"/>
      </w:r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3">
    <w:nsid w:val="7BAE0FD4"/>
    <w:multiLevelType w:val="multilevel"/>
    <w:tmpl w:val="7BAE0FD4"/>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NzZiMDdkYTY0ZmRmMzBiOWIyYjRiNDY5NGVjYjcifQ=="/>
  </w:docVars>
  <w:rsids>
    <w:rsidRoot w:val="303C3716"/>
    <w:rsid w:val="00093BFC"/>
    <w:rsid w:val="000D6AFA"/>
    <w:rsid w:val="000E339A"/>
    <w:rsid w:val="00114CE4"/>
    <w:rsid w:val="001215B3"/>
    <w:rsid w:val="0012255A"/>
    <w:rsid w:val="001501BC"/>
    <w:rsid w:val="00150517"/>
    <w:rsid w:val="001C037F"/>
    <w:rsid w:val="001C621F"/>
    <w:rsid w:val="001D6603"/>
    <w:rsid w:val="00235A49"/>
    <w:rsid w:val="00242477"/>
    <w:rsid w:val="00280A48"/>
    <w:rsid w:val="00292A22"/>
    <w:rsid w:val="002A61FE"/>
    <w:rsid w:val="002C264A"/>
    <w:rsid w:val="002E5A85"/>
    <w:rsid w:val="002F239C"/>
    <w:rsid w:val="002F5228"/>
    <w:rsid w:val="002F6363"/>
    <w:rsid w:val="00307DD3"/>
    <w:rsid w:val="00312128"/>
    <w:rsid w:val="00321345"/>
    <w:rsid w:val="003347DA"/>
    <w:rsid w:val="0034702C"/>
    <w:rsid w:val="003811D1"/>
    <w:rsid w:val="003859F9"/>
    <w:rsid w:val="0039130D"/>
    <w:rsid w:val="003A21BD"/>
    <w:rsid w:val="003B4E05"/>
    <w:rsid w:val="003C066F"/>
    <w:rsid w:val="00420EA1"/>
    <w:rsid w:val="00447BAC"/>
    <w:rsid w:val="004649A2"/>
    <w:rsid w:val="00470BBF"/>
    <w:rsid w:val="00471392"/>
    <w:rsid w:val="004920D0"/>
    <w:rsid w:val="00492249"/>
    <w:rsid w:val="00494F08"/>
    <w:rsid w:val="004D5860"/>
    <w:rsid w:val="00530529"/>
    <w:rsid w:val="00531E2F"/>
    <w:rsid w:val="0055487C"/>
    <w:rsid w:val="00566C01"/>
    <w:rsid w:val="00585AC2"/>
    <w:rsid w:val="00594157"/>
    <w:rsid w:val="005B66DA"/>
    <w:rsid w:val="005E71F2"/>
    <w:rsid w:val="005F0C56"/>
    <w:rsid w:val="005F45A6"/>
    <w:rsid w:val="00632D0B"/>
    <w:rsid w:val="00634337"/>
    <w:rsid w:val="00646253"/>
    <w:rsid w:val="00663281"/>
    <w:rsid w:val="00686501"/>
    <w:rsid w:val="006979D9"/>
    <w:rsid w:val="006C2A4B"/>
    <w:rsid w:val="006E17CC"/>
    <w:rsid w:val="00703C52"/>
    <w:rsid w:val="00731745"/>
    <w:rsid w:val="007660A5"/>
    <w:rsid w:val="007849BC"/>
    <w:rsid w:val="007B4669"/>
    <w:rsid w:val="007C6D7E"/>
    <w:rsid w:val="007D592F"/>
    <w:rsid w:val="0080254E"/>
    <w:rsid w:val="00803BEC"/>
    <w:rsid w:val="00804B30"/>
    <w:rsid w:val="008273B9"/>
    <w:rsid w:val="00834185"/>
    <w:rsid w:val="0085279F"/>
    <w:rsid w:val="00857A69"/>
    <w:rsid w:val="00886917"/>
    <w:rsid w:val="008871D0"/>
    <w:rsid w:val="00893849"/>
    <w:rsid w:val="008955FA"/>
    <w:rsid w:val="008B32B5"/>
    <w:rsid w:val="008B3A3F"/>
    <w:rsid w:val="008C42A1"/>
    <w:rsid w:val="008D79FB"/>
    <w:rsid w:val="008E38AE"/>
    <w:rsid w:val="00907EC9"/>
    <w:rsid w:val="0091297C"/>
    <w:rsid w:val="00940B80"/>
    <w:rsid w:val="009473BD"/>
    <w:rsid w:val="00953C36"/>
    <w:rsid w:val="00983D09"/>
    <w:rsid w:val="0098462C"/>
    <w:rsid w:val="009869D6"/>
    <w:rsid w:val="009A2E1B"/>
    <w:rsid w:val="009B31A9"/>
    <w:rsid w:val="009E0673"/>
    <w:rsid w:val="009E1CFD"/>
    <w:rsid w:val="00A03249"/>
    <w:rsid w:val="00A24F2C"/>
    <w:rsid w:val="00A4028E"/>
    <w:rsid w:val="00A4235D"/>
    <w:rsid w:val="00A44437"/>
    <w:rsid w:val="00A53B41"/>
    <w:rsid w:val="00A54FEB"/>
    <w:rsid w:val="00A57344"/>
    <w:rsid w:val="00A71C11"/>
    <w:rsid w:val="00A74F96"/>
    <w:rsid w:val="00A915BC"/>
    <w:rsid w:val="00AA6B56"/>
    <w:rsid w:val="00AE17D2"/>
    <w:rsid w:val="00AE765B"/>
    <w:rsid w:val="00B03CAC"/>
    <w:rsid w:val="00B37333"/>
    <w:rsid w:val="00B52FFD"/>
    <w:rsid w:val="00B60557"/>
    <w:rsid w:val="00B6434A"/>
    <w:rsid w:val="00BA0F93"/>
    <w:rsid w:val="00BA3D79"/>
    <w:rsid w:val="00BB3265"/>
    <w:rsid w:val="00BC3EA9"/>
    <w:rsid w:val="00BC6CC2"/>
    <w:rsid w:val="00BE7D66"/>
    <w:rsid w:val="00C128C2"/>
    <w:rsid w:val="00C14B97"/>
    <w:rsid w:val="00C214B2"/>
    <w:rsid w:val="00C31C7B"/>
    <w:rsid w:val="00C457A7"/>
    <w:rsid w:val="00C86EFD"/>
    <w:rsid w:val="00CA74B2"/>
    <w:rsid w:val="00CB6A5F"/>
    <w:rsid w:val="00CC34B5"/>
    <w:rsid w:val="00D00FFE"/>
    <w:rsid w:val="00D303FD"/>
    <w:rsid w:val="00D42C85"/>
    <w:rsid w:val="00D45EA8"/>
    <w:rsid w:val="00D57588"/>
    <w:rsid w:val="00D66F77"/>
    <w:rsid w:val="00D67A83"/>
    <w:rsid w:val="00D75F59"/>
    <w:rsid w:val="00D83C23"/>
    <w:rsid w:val="00D944CB"/>
    <w:rsid w:val="00DA3115"/>
    <w:rsid w:val="00DB0B7B"/>
    <w:rsid w:val="00DB79C3"/>
    <w:rsid w:val="00DC1675"/>
    <w:rsid w:val="00DE4EBD"/>
    <w:rsid w:val="00DF278D"/>
    <w:rsid w:val="00E15469"/>
    <w:rsid w:val="00E2151C"/>
    <w:rsid w:val="00E23582"/>
    <w:rsid w:val="00E37BC5"/>
    <w:rsid w:val="00E454F0"/>
    <w:rsid w:val="00E944CE"/>
    <w:rsid w:val="00EB6276"/>
    <w:rsid w:val="00EC3BDA"/>
    <w:rsid w:val="00EC41E1"/>
    <w:rsid w:val="00EC7B18"/>
    <w:rsid w:val="00F21DFC"/>
    <w:rsid w:val="00F21EDE"/>
    <w:rsid w:val="00F420F1"/>
    <w:rsid w:val="00FA231C"/>
    <w:rsid w:val="00FD5539"/>
    <w:rsid w:val="00FD73F4"/>
    <w:rsid w:val="00FF75B8"/>
    <w:rsid w:val="01377990"/>
    <w:rsid w:val="01B04CC0"/>
    <w:rsid w:val="021A19F4"/>
    <w:rsid w:val="03AE1F3D"/>
    <w:rsid w:val="03BA0EFD"/>
    <w:rsid w:val="0407679B"/>
    <w:rsid w:val="04383715"/>
    <w:rsid w:val="062E3A05"/>
    <w:rsid w:val="06494286"/>
    <w:rsid w:val="06964A39"/>
    <w:rsid w:val="09071E3A"/>
    <w:rsid w:val="0B777D58"/>
    <w:rsid w:val="0D5D4191"/>
    <w:rsid w:val="0DFE5677"/>
    <w:rsid w:val="0E0D1F34"/>
    <w:rsid w:val="0E59270B"/>
    <w:rsid w:val="0E673FB5"/>
    <w:rsid w:val="0FDC41D9"/>
    <w:rsid w:val="101677B0"/>
    <w:rsid w:val="11BC62C4"/>
    <w:rsid w:val="12445440"/>
    <w:rsid w:val="12D56DBB"/>
    <w:rsid w:val="12F73E27"/>
    <w:rsid w:val="136B4FBB"/>
    <w:rsid w:val="14660BCE"/>
    <w:rsid w:val="18251A52"/>
    <w:rsid w:val="19802CDD"/>
    <w:rsid w:val="19F459F1"/>
    <w:rsid w:val="1A5044B6"/>
    <w:rsid w:val="1A5B1E1F"/>
    <w:rsid w:val="1ABE0D8C"/>
    <w:rsid w:val="1ADE3ED4"/>
    <w:rsid w:val="1CB6536F"/>
    <w:rsid w:val="1CFE1A45"/>
    <w:rsid w:val="1EB7B040"/>
    <w:rsid w:val="1F3FD439"/>
    <w:rsid w:val="1FBD930F"/>
    <w:rsid w:val="1FE77016"/>
    <w:rsid w:val="1FFFC73C"/>
    <w:rsid w:val="206A0037"/>
    <w:rsid w:val="216E140E"/>
    <w:rsid w:val="21C662EA"/>
    <w:rsid w:val="23D71F40"/>
    <w:rsid w:val="25CE501C"/>
    <w:rsid w:val="25D53064"/>
    <w:rsid w:val="2745076C"/>
    <w:rsid w:val="27FFD111"/>
    <w:rsid w:val="290D642E"/>
    <w:rsid w:val="29EA11E4"/>
    <w:rsid w:val="2ABF7AE4"/>
    <w:rsid w:val="2B46596C"/>
    <w:rsid w:val="2B5E10AB"/>
    <w:rsid w:val="2B693E6D"/>
    <w:rsid w:val="2B87657F"/>
    <w:rsid w:val="2C7EE950"/>
    <w:rsid w:val="2CE4735D"/>
    <w:rsid w:val="2CEB6D19"/>
    <w:rsid w:val="2D121ED4"/>
    <w:rsid w:val="2D7A6681"/>
    <w:rsid w:val="2DBEE06A"/>
    <w:rsid w:val="2DDED968"/>
    <w:rsid w:val="2DF626E4"/>
    <w:rsid w:val="2EF40197"/>
    <w:rsid w:val="2F7BC987"/>
    <w:rsid w:val="2FAEB185"/>
    <w:rsid w:val="2FFC5FC9"/>
    <w:rsid w:val="2FFFB4E1"/>
    <w:rsid w:val="303C3716"/>
    <w:rsid w:val="30D867AB"/>
    <w:rsid w:val="310212C5"/>
    <w:rsid w:val="319D204F"/>
    <w:rsid w:val="32160058"/>
    <w:rsid w:val="32BEA826"/>
    <w:rsid w:val="33BF11D0"/>
    <w:rsid w:val="33E75E85"/>
    <w:rsid w:val="33EE5731"/>
    <w:rsid w:val="33EED6AA"/>
    <w:rsid w:val="34057CA4"/>
    <w:rsid w:val="35BF00E8"/>
    <w:rsid w:val="35DD476F"/>
    <w:rsid w:val="35F9779C"/>
    <w:rsid w:val="36BC568D"/>
    <w:rsid w:val="37495E54"/>
    <w:rsid w:val="3803673F"/>
    <w:rsid w:val="387F85AE"/>
    <w:rsid w:val="38D7747B"/>
    <w:rsid w:val="39BBA407"/>
    <w:rsid w:val="39D37108"/>
    <w:rsid w:val="3AFE87D3"/>
    <w:rsid w:val="3B878032"/>
    <w:rsid w:val="3BB79569"/>
    <w:rsid w:val="3BF34FA6"/>
    <w:rsid w:val="3C510388"/>
    <w:rsid w:val="3CDD9E86"/>
    <w:rsid w:val="3CF7310E"/>
    <w:rsid w:val="3D6D08F7"/>
    <w:rsid w:val="3DBF3B90"/>
    <w:rsid w:val="3DEF2FCF"/>
    <w:rsid w:val="3DFF50A8"/>
    <w:rsid w:val="3EDD0BCE"/>
    <w:rsid w:val="3F6F0516"/>
    <w:rsid w:val="3F6FA47C"/>
    <w:rsid w:val="3F7F0D99"/>
    <w:rsid w:val="3FADF7CE"/>
    <w:rsid w:val="3FBFCB69"/>
    <w:rsid w:val="3FED2839"/>
    <w:rsid w:val="3FEF32FE"/>
    <w:rsid w:val="3FF3AA25"/>
    <w:rsid w:val="3FF548ED"/>
    <w:rsid w:val="3FF56C79"/>
    <w:rsid w:val="3FFC25FD"/>
    <w:rsid w:val="3FFFFB14"/>
    <w:rsid w:val="4074567F"/>
    <w:rsid w:val="40F0587F"/>
    <w:rsid w:val="40F06F8D"/>
    <w:rsid w:val="41E45413"/>
    <w:rsid w:val="42066023"/>
    <w:rsid w:val="4287319D"/>
    <w:rsid w:val="43FF5AA3"/>
    <w:rsid w:val="440C3774"/>
    <w:rsid w:val="466C2D04"/>
    <w:rsid w:val="46AC2FB7"/>
    <w:rsid w:val="46BF6A4A"/>
    <w:rsid w:val="47AE53FB"/>
    <w:rsid w:val="47EE4419"/>
    <w:rsid w:val="48371BB5"/>
    <w:rsid w:val="493901C1"/>
    <w:rsid w:val="495D248D"/>
    <w:rsid w:val="4AC6279B"/>
    <w:rsid w:val="4B8C6A4A"/>
    <w:rsid w:val="4C0215BF"/>
    <w:rsid w:val="4DC25600"/>
    <w:rsid w:val="4F4E4C57"/>
    <w:rsid w:val="4FD7F6CF"/>
    <w:rsid w:val="50FF62F5"/>
    <w:rsid w:val="51C82800"/>
    <w:rsid w:val="51F444D7"/>
    <w:rsid w:val="53881CBB"/>
    <w:rsid w:val="545B5DFA"/>
    <w:rsid w:val="55EE4C67"/>
    <w:rsid w:val="569D60F5"/>
    <w:rsid w:val="56F514FC"/>
    <w:rsid w:val="57831D16"/>
    <w:rsid w:val="579EAB6E"/>
    <w:rsid w:val="58094FB8"/>
    <w:rsid w:val="589A60DB"/>
    <w:rsid w:val="597D1817"/>
    <w:rsid w:val="5A9E5E42"/>
    <w:rsid w:val="5B5E793C"/>
    <w:rsid w:val="5C632FD8"/>
    <w:rsid w:val="5D7587A5"/>
    <w:rsid w:val="5D7B4FB9"/>
    <w:rsid w:val="5DFFE270"/>
    <w:rsid w:val="5EE77E27"/>
    <w:rsid w:val="5EFEF315"/>
    <w:rsid w:val="5F3571FE"/>
    <w:rsid w:val="5F36156F"/>
    <w:rsid w:val="5FBEC932"/>
    <w:rsid w:val="5FCC5B82"/>
    <w:rsid w:val="5FF7622E"/>
    <w:rsid w:val="5FFBA838"/>
    <w:rsid w:val="5FFC8050"/>
    <w:rsid w:val="5FFDC85C"/>
    <w:rsid w:val="5FFF5829"/>
    <w:rsid w:val="5FFFCAF9"/>
    <w:rsid w:val="61DFF1E4"/>
    <w:rsid w:val="61F6156A"/>
    <w:rsid w:val="62F25AFF"/>
    <w:rsid w:val="63EB8B3A"/>
    <w:rsid w:val="64BFCAB2"/>
    <w:rsid w:val="65271A92"/>
    <w:rsid w:val="66EF2A76"/>
    <w:rsid w:val="6751062A"/>
    <w:rsid w:val="67EAE96B"/>
    <w:rsid w:val="681E7F60"/>
    <w:rsid w:val="68333BEB"/>
    <w:rsid w:val="684359DD"/>
    <w:rsid w:val="69377B94"/>
    <w:rsid w:val="6A3DD0CC"/>
    <w:rsid w:val="6B6AA2E2"/>
    <w:rsid w:val="6B7D48B4"/>
    <w:rsid w:val="6BAF54B1"/>
    <w:rsid w:val="6BBB8C2A"/>
    <w:rsid w:val="6BCD5A19"/>
    <w:rsid w:val="6D756601"/>
    <w:rsid w:val="6DA92A14"/>
    <w:rsid w:val="6E6F1904"/>
    <w:rsid w:val="6E7F061A"/>
    <w:rsid w:val="6E95E55E"/>
    <w:rsid w:val="6EF014DA"/>
    <w:rsid w:val="6F190F9A"/>
    <w:rsid w:val="6F372AF2"/>
    <w:rsid w:val="6F7C1F9A"/>
    <w:rsid w:val="6F7D7B1F"/>
    <w:rsid w:val="6F7EDC06"/>
    <w:rsid w:val="6F7FF3F4"/>
    <w:rsid w:val="6F9E6318"/>
    <w:rsid w:val="6FB347BC"/>
    <w:rsid w:val="6FDADD09"/>
    <w:rsid w:val="6FEF51D5"/>
    <w:rsid w:val="6FFF6D6D"/>
    <w:rsid w:val="713F7A36"/>
    <w:rsid w:val="714D3E0A"/>
    <w:rsid w:val="71BC5E12"/>
    <w:rsid w:val="71E371B8"/>
    <w:rsid w:val="72622208"/>
    <w:rsid w:val="72DF1FD1"/>
    <w:rsid w:val="739DA33B"/>
    <w:rsid w:val="739DFBB8"/>
    <w:rsid w:val="73F65566"/>
    <w:rsid w:val="74FD4EE7"/>
    <w:rsid w:val="74FF9341"/>
    <w:rsid w:val="756634D6"/>
    <w:rsid w:val="757F61F4"/>
    <w:rsid w:val="75C77309"/>
    <w:rsid w:val="75F519FA"/>
    <w:rsid w:val="75F88862"/>
    <w:rsid w:val="75FBF4A0"/>
    <w:rsid w:val="762C5158"/>
    <w:rsid w:val="7663BEE3"/>
    <w:rsid w:val="767EA3DC"/>
    <w:rsid w:val="77400BD6"/>
    <w:rsid w:val="779C1957"/>
    <w:rsid w:val="77AA763A"/>
    <w:rsid w:val="77ED270F"/>
    <w:rsid w:val="77FB90B7"/>
    <w:rsid w:val="77FF09DD"/>
    <w:rsid w:val="77FFFF17"/>
    <w:rsid w:val="78BDF622"/>
    <w:rsid w:val="796D7321"/>
    <w:rsid w:val="79BFEB88"/>
    <w:rsid w:val="7A1129C2"/>
    <w:rsid w:val="7A7EDF9E"/>
    <w:rsid w:val="7AAB4D04"/>
    <w:rsid w:val="7AF10155"/>
    <w:rsid w:val="7AFD405F"/>
    <w:rsid w:val="7B6A4641"/>
    <w:rsid w:val="7B7FE33F"/>
    <w:rsid w:val="7BB3460A"/>
    <w:rsid w:val="7BBD79A0"/>
    <w:rsid w:val="7BFFE2B4"/>
    <w:rsid w:val="7C5ED7AE"/>
    <w:rsid w:val="7D65F0F7"/>
    <w:rsid w:val="7D97C0FF"/>
    <w:rsid w:val="7DAF0160"/>
    <w:rsid w:val="7DBF7F2A"/>
    <w:rsid w:val="7DDEC775"/>
    <w:rsid w:val="7DFDEE8B"/>
    <w:rsid w:val="7E3E64B7"/>
    <w:rsid w:val="7E7FA3BE"/>
    <w:rsid w:val="7EDB0A37"/>
    <w:rsid w:val="7EDD3CEE"/>
    <w:rsid w:val="7EDED673"/>
    <w:rsid w:val="7EDFCB02"/>
    <w:rsid w:val="7EE30E63"/>
    <w:rsid w:val="7EEB1404"/>
    <w:rsid w:val="7EEF8080"/>
    <w:rsid w:val="7EF3F3DD"/>
    <w:rsid w:val="7EF7407B"/>
    <w:rsid w:val="7EFD05E1"/>
    <w:rsid w:val="7F318B59"/>
    <w:rsid w:val="7F3B50BA"/>
    <w:rsid w:val="7F5FF466"/>
    <w:rsid w:val="7F7F409C"/>
    <w:rsid w:val="7F7F9FA6"/>
    <w:rsid w:val="7F7FC622"/>
    <w:rsid w:val="7F972304"/>
    <w:rsid w:val="7F974DF1"/>
    <w:rsid w:val="7F97BAFA"/>
    <w:rsid w:val="7FA6B4BC"/>
    <w:rsid w:val="7FA71437"/>
    <w:rsid w:val="7FA7CA9E"/>
    <w:rsid w:val="7FB5F82A"/>
    <w:rsid w:val="7FB864CC"/>
    <w:rsid w:val="7FBE3148"/>
    <w:rsid w:val="7FCF1F55"/>
    <w:rsid w:val="7FCF9C94"/>
    <w:rsid w:val="7FDB5235"/>
    <w:rsid w:val="7FDBCE21"/>
    <w:rsid w:val="7FDE2AFC"/>
    <w:rsid w:val="7FE7D225"/>
    <w:rsid w:val="7FF37AF6"/>
    <w:rsid w:val="7FF6569E"/>
    <w:rsid w:val="7FFF1F72"/>
    <w:rsid w:val="7FFF2C50"/>
    <w:rsid w:val="7FFF8B05"/>
    <w:rsid w:val="86FFCCE3"/>
    <w:rsid w:val="92FD92B9"/>
    <w:rsid w:val="9B76F9E5"/>
    <w:rsid w:val="9BFC29B2"/>
    <w:rsid w:val="9DDF23D5"/>
    <w:rsid w:val="9E374293"/>
    <w:rsid w:val="9EFFC3FB"/>
    <w:rsid w:val="9F1BFC04"/>
    <w:rsid w:val="9F7F3B07"/>
    <w:rsid w:val="9F7F6D7E"/>
    <w:rsid w:val="9FAF436A"/>
    <w:rsid w:val="A7C6D6C0"/>
    <w:rsid w:val="A7EE40F9"/>
    <w:rsid w:val="AC4D6608"/>
    <w:rsid w:val="AF4F215D"/>
    <w:rsid w:val="AF6B9604"/>
    <w:rsid w:val="AF9FFD04"/>
    <w:rsid w:val="B1FD2C72"/>
    <w:rsid w:val="B286C969"/>
    <w:rsid w:val="B37E56FD"/>
    <w:rsid w:val="B3ECB64B"/>
    <w:rsid w:val="B4F52F67"/>
    <w:rsid w:val="B67FFB14"/>
    <w:rsid w:val="B77F6D45"/>
    <w:rsid w:val="B7D619D9"/>
    <w:rsid w:val="B8973135"/>
    <w:rsid w:val="BA7B1535"/>
    <w:rsid w:val="BABF0686"/>
    <w:rsid w:val="BB6DA4FA"/>
    <w:rsid w:val="BBEFBE83"/>
    <w:rsid w:val="BCFD242D"/>
    <w:rsid w:val="BDD7B8FE"/>
    <w:rsid w:val="BDF72D7A"/>
    <w:rsid w:val="BE697EF4"/>
    <w:rsid w:val="BEB4DE33"/>
    <w:rsid w:val="BEF3A378"/>
    <w:rsid w:val="BEFE0B34"/>
    <w:rsid w:val="BEFF35AD"/>
    <w:rsid w:val="BEFFD59C"/>
    <w:rsid w:val="BF2E9CBC"/>
    <w:rsid w:val="BF7B5A9E"/>
    <w:rsid w:val="BF8329AA"/>
    <w:rsid w:val="BFB89EC7"/>
    <w:rsid w:val="BFBF070F"/>
    <w:rsid w:val="BFCBF8B8"/>
    <w:rsid w:val="BFDBD069"/>
    <w:rsid w:val="BFEF3BD0"/>
    <w:rsid w:val="BFF4D426"/>
    <w:rsid w:val="BFF75BA8"/>
    <w:rsid w:val="BFFDE0B6"/>
    <w:rsid w:val="BFFEDA8B"/>
    <w:rsid w:val="BFFF943F"/>
    <w:rsid w:val="BFFFB73A"/>
    <w:rsid w:val="C6CB7AAF"/>
    <w:rsid w:val="CE4D183B"/>
    <w:rsid w:val="CFD58045"/>
    <w:rsid w:val="CFDF28A5"/>
    <w:rsid w:val="D56F31DD"/>
    <w:rsid w:val="D5DE5A4B"/>
    <w:rsid w:val="D7DF248C"/>
    <w:rsid w:val="D937EEE7"/>
    <w:rsid w:val="D99BBED3"/>
    <w:rsid w:val="D9EC02DE"/>
    <w:rsid w:val="DA3F80C0"/>
    <w:rsid w:val="DDB7AEB5"/>
    <w:rsid w:val="DDFB72EB"/>
    <w:rsid w:val="DDFF9E4D"/>
    <w:rsid w:val="DF7F6EBA"/>
    <w:rsid w:val="DFD51E4C"/>
    <w:rsid w:val="DFDFBAE3"/>
    <w:rsid w:val="DFF89DFF"/>
    <w:rsid w:val="DFFB6D1C"/>
    <w:rsid w:val="DFFDDD8F"/>
    <w:rsid w:val="DFFDF637"/>
    <w:rsid w:val="E5FB1420"/>
    <w:rsid w:val="E5FE53C3"/>
    <w:rsid w:val="E6CF7D2A"/>
    <w:rsid w:val="E7C9131F"/>
    <w:rsid w:val="E87BEE58"/>
    <w:rsid w:val="E9FFD71B"/>
    <w:rsid w:val="EC76581E"/>
    <w:rsid w:val="ECF6BEEC"/>
    <w:rsid w:val="ECFBDB83"/>
    <w:rsid w:val="ECFF4932"/>
    <w:rsid w:val="EE4F08D9"/>
    <w:rsid w:val="EE7DDF01"/>
    <w:rsid w:val="EEBD444C"/>
    <w:rsid w:val="EED95432"/>
    <w:rsid w:val="EFB51887"/>
    <w:rsid w:val="EFC780D5"/>
    <w:rsid w:val="EFFD5F1D"/>
    <w:rsid w:val="F19DFF1B"/>
    <w:rsid w:val="F2FF0020"/>
    <w:rsid w:val="F33E133D"/>
    <w:rsid w:val="F367DE85"/>
    <w:rsid w:val="F36F9756"/>
    <w:rsid w:val="F3DF9865"/>
    <w:rsid w:val="F3EFC7A2"/>
    <w:rsid w:val="F4FF36EB"/>
    <w:rsid w:val="F59978F2"/>
    <w:rsid w:val="F5C50C08"/>
    <w:rsid w:val="F5F33B8C"/>
    <w:rsid w:val="F5FD6755"/>
    <w:rsid w:val="F5FD7E1A"/>
    <w:rsid w:val="F5FFE3CB"/>
    <w:rsid w:val="F6D2698B"/>
    <w:rsid w:val="F6DD26AC"/>
    <w:rsid w:val="F6F7573A"/>
    <w:rsid w:val="F7BF933B"/>
    <w:rsid w:val="F7D5F92F"/>
    <w:rsid w:val="F7D79405"/>
    <w:rsid w:val="F7DC03B2"/>
    <w:rsid w:val="F7DE178D"/>
    <w:rsid w:val="F7E591F7"/>
    <w:rsid w:val="F7F66156"/>
    <w:rsid w:val="F7FE23D6"/>
    <w:rsid w:val="F8E60F88"/>
    <w:rsid w:val="F8EB47E6"/>
    <w:rsid w:val="F9B7608C"/>
    <w:rsid w:val="F9FCB841"/>
    <w:rsid w:val="F9FE8D7E"/>
    <w:rsid w:val="F9FFB453"/>
    <w:rsid w:val="FA3F3684"/>
    <w:rsid w:val="FB57BC2E"/>
    <w:rsid w:val="FB6C98D0"/>
    <w:rsid w:val="FB8DD562"/>
    <w:rsid w:val="FBBD38C3"/>
    <w:rsid w:val="FBBF0A00"/>
    <w:rsid w:val="FBEFC612"/>
    <w:rsid w:val="FC8F8A67"/>
    <w:rsid w:val="FCB75104"/>
    <w:rsid w:val="FCBD6C6E"/>
    <w:rsid w:val="FCF5B041"/>
    <w:rsid w:val="FD76EF48"/>
    <w:rsid w:val="FD9F5B1D"/>
    <w:rsid w:val="FDBDC7AE"/>
    <w:rsid w:val="FDDCBA47"/>
    <w:rsid w:val="FDFE86E8"/>
    <w:rsid w:val="FDFF31E3"/>
    <w:rsid w:val="FEB869F4"/>
    <w:rsid w:val="FEBFE8D8"/>
    <w:rsid w:val="FECF925C"/>
    <w:rsid w:val="FED2DAC9"/>
    <w:rsid w:val="FEDB9B36"/>
    <w:rsid w:val="FEEFED41"/>
    <w:rsid w:val="FEF7B02E"/>
    <w:rsid w:val="FEFF860C"/>
    <w:rsid w:val="FF3AEC32"/>
    <w:rsid w:val="FF5A35C1"/>
    <w:rsid w:val="FF655C10"/>
    <w:rsid w:val="FF684DD9"/>
    <w:rsid w:val="FF76B489"/>
    <w:rsid w:val="FF77D052"/>
    <w:rsid w:val="FF7EC4CC"/>
    <w:rsid w:val="FF7F4F04"/>
    <w:rsid w:val="FF866D02"/>
    <w:rsid w:val="FFAEBAC8"/>
    <w:rsid w:val="FFBAE61F"/>
    <w:rsid w:val="FFBF4D25"/>
    <w:rsid w:val="FFD47602"/>
    <w:rsid w:val="FFD6604B"/>
    <w:rsid w:val="FFD7703D"/>
    <w:rsid w:val="FFDC4D8D"/>
    <w:rsid w:val="FFDF1ADA"/>
    <w:rsid w:val="FFEC9061"/>
    <w:rsid w:val="FFED891B"/>
    <w:rsid w:val="FFF3DCAF"/>
    <w:rsid w:val="FFF6B386"/>
    <w:rsid w:val="FFF709C8"/>
    <w:rsid w:val="FFF72927"/>
    <w:rsid w:val="FFFD85F7"/>
    <w:rsid w:val="FFFF9F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spacing w:before="0" w:beforeAutospacing="0" w:after="0" w:afterAutospacing="0"/>
      <w:ind w:firstLine="880" w:firstLineChars="200"/>
      <w:jc w:val="both"/>
      <w:outlineLvl w:val="1"/>
    </w:pPr>
    <w:rPr>
      <w:rFonts w:hint="eastAsia" w:ascii="Times New Roman" w:hAnsi="Times New Roman" w:eastAsia="楷体" w:cs="Times New Roman"/>
      <w:b/>
      <w:kern w:val="0"/>
      <w:szCs w:val="36"/>
      <w:lang w:bidi="ar"/>
    </w:rPr>
  </w:style>
  <w:style w:type="paragraph" w:styleId="4">
    <w:name w:val="heading 3"/>
    <w:basedOn w:val="1"/>
    <w:next w:val="1"/>
    <w:link w:val="13"/>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5">
    <w:name w:val="annotation text"/>
    <w:basedOn w:val="1"/>
    <w:qFormat/>
    <w:uiPriority w:val="0"/>
    <w:pPr>
      <w:jc w:val="left"/>
    </w:p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qFormat/>
    <w:uiPriority w:val="0"/>
    <w:rPr>
      <w:sz w:val="21"/>
      <w:szCs w:val="21"/>
    </w:rPr>
  </w:style>
  <w:style w:type="character" w:customStyle="1" w:styleId="13">
    <w:name w:val="标题 3 Char"/>
    <w:basedOn w:val="11"/>
    <w:link w:val="4"/>
    <w:qFormat/>
    <w:uiPriority w:val="0"/>
    <w:rPr>
      <w:rFonts w:ascii="宋体" w:hAnsi="宋体"/>
      <w:b/>
      <w:kern w:val="2"/>
      <w:sz w:val="27"/>
    </w:rPr>
  </w:style>
  <w:style w:type="character" w:customStyle="1" w:styleId="14">
    <w:name w:val="批注框文本 Char"/>
    <w:basedOn w:val="11"/>
    <w:link w:val="6"/>
    <w:qFormat/>
    <w:uiPriority w:val="0"/>
    <w:rPr>
      <w:kern w:val="2"/>
      <w:sz w:val="18"/>
      <w:szCs w:val="18"/>
    </w:rPr>
  </w:style>
  <w:style w:type="character" w:customStyle="1" w:styleId="15">
    <w:name w:val="页脚 Char"/>
    <w:basedOn w:val="11"/>
    <w:link w:val="7"/>
    <w:qFormat/>
    <w:uiPriority w:val="99"/>
    <w:rPr>
      <w:kern w:val="2"/>
      <w:sz w:val="18"/>
      <w:szCs w:val="18"/>
    </w:rPr>
  </w:style>
  <w:style w:type="character" w:customStyle="1" w:styleId="16">
    <w:name w:val="页眉 Char"/>
    <w:basedOn w:val="11"/>
    <w:link w:val="8"/>
    <w:qFormat/>
    <w:uiPriority w:val="0"/>
    <w:rPr>
      <w:kern w:val="2"/>
      <w:sz w:val="18"/>
      <w:szCs w:val="18"/>
    </w:rPr>
  </w:style>
  <w:style w:type="paragraph" w:styleId="17">
    <w:name w:val="List Paragraph"/>
    <w:basedOn w:val="1"/>
    <w:unhideWhenUsed/>
    <w:qFormat/>
    <w:uiPriority w:val="99"/>
    <w:pPr>
      <w:ind w:firstLine="420" w:firstLineChars="200"/>
    </w:pPr>
  </w:style>
  <w:style w:type="paragraph" w:customStyle="1" w:styleId="18">
    <w:name w:val="msolist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Chinese ORG</Company>
  <Pages>19</Pages>
  <Words>8552</Words>
  <Characters>8967</Characters>
  <Lines>45</Lines>
  <Paragraphs>12</Paragraphs>
  <TotalTime>9</TotalTime>
  <ScaleCrop>false</ScaleCrop>
  <LinksUpToDate>false</LinksUpToDate>
  <CharactersWithSpaces>9083</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2021-04-26T07:21:00Z</dcterms:created>
  <dc:creator>刘妍彤</dc:creator>
  <cp:lastModifiedBy>WANGQW</cp:lastModifiedBy>
  <cp:lastPrinted>2021-04-25T10:03:00Z</cp:lastPrinted>
  <dcterms:modified xsi:type="dcterms:W3CDTF">2024-05-14T16:11:00Z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DC93EC2C3593D9DADF074366EE6D0D20</vt:lpwstr>
  </property>
</Properties>
</file>